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pPr w:leftFromText="141" w:rightFromText="141" w:vertAnchor="text" w:horzAnchor="margin" w:tblpY="-110"/>
        <w:tblW w:w="0" w:type="auto"/>
        <w:tblLook w:val="04A0"/>
      </w:tblPr>
      <w:tblGrid>
        <w:gridCol w:w="2376"/>
        <w:gridCol w:w="6268"/>
      </w:tblGrid>
      <w:tr w:rsidR="003506B4" w:rsidRPr="003506B4" w:rsidTr="00D05028">
        <w:tc>
          <w:tcPr>
            <w:tcW w:w="8644" w:type="dxa"/>
            <w:gridSpan w:val="2"/>
            <w:tcBorders>
              <w:bottom w:val="single" w:sz="4" w:space="0" w:color="000000" w:themeColor="text1"/>
            </w:tcBorders>
          </w:tcPr>
          <w:p w:rsidR="003506B4" w:rsidRPr="003506B4" w:rsidRDefault="003506B4" w:rsidP="003506B4">
            <w:pPr>
              <w:autoSpaceDE w:val="0"/>
              <w:autoSpaceDN w:val="0"/>
              <w:adjustRightInd w:val="0"/>
              <w:rPr>
                <w:rFonts w:ascii="Arial Black" w:hAnsi="Arial Black" w:cs="Arial Black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3506B4">
              <w:rPr>
                <w:rFonts w:ascii="Arial Black" w:hAnsi="Arial Black" w:cs="Arial Black"/>
                <w:b/>
                <w:bCs/>
                <w:color w:val="000000"/>
                <w:sz w:val="20"/>
                <w:szCs w:val="20"/>
                <w:lang w:val="en-GB"/>
              </w:rPr>
              <w:t>Box 4: Vulnerabilities common among the urban poor</w:t>
            </w:r>
          </w:p>
          <w:p w:rsidR="003506B4" w:rsidRPr="003506B4" w:rsidRDefault="003506B4" w:rsidP="003506B4">
            <w:pPr>
              <w:rPr>
                <w:lang w:val="en-GB"/>
              </w:rPr>
            </w:pPr>
          </w:p>
        </w:tc>
      </w:tr>
      <w:tr w:rsidR="003506B4" w:rsidRPr="003506B4" w:rsidTr="00D05028">
        <w:tc>
          <w:tcPr>
            <w:tcW w:w="2376" w:type="dxa"/>
            <w:tcBorders>
              <w:bottom w:val="nil"/>
              <w:right w:val="nil"/>
            </w:tcBorders>
          </w:tcPr>
          <w:p w:rsidR="003506B4" w:rsidRDefault="003506B4" w:rsidP="003506B4">
            <w:pPr>
              <w:autoSpaceDE w:val="0"/>
              <w:autoSpaceDN w:val="0"/>
              <w:adjustRightInd w:val="0"/>
              <w:rPr>
                <w:rFonts w:ascii="Arial Black" w:hAnsi="Arial Black" w:cs="Arial Black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3506B4">
              <w:rPr>
                <w:rFonts w:ascii="Arial Black" w:hAnsi="Arial Black" w:cs="Arial Black"/>
                <w:b/>
                <w:bCs/>
                <w:color w:val="000000"/>
                <w:sz w:val="20"/>
                <w:szCs w:val="20"/>
                <w:lang w:val="en-GB"/>
              </w:rPr>
              <w:t>Legal  status</w:t>
            </w:r>
          </w:p>
          <w:p w:rsidR="003506B4" w:rsidRPr="003506B4" w:rsidRDefault="003506B4" w:rsidP="003506B4">
            <w:pPr>
              <w:autoSpaceDE w:val="0"/>
              <w:autoSpaceDN w:val="0"/>
              <w:adjustRightInd w:val="0"/>
              <w:rPr>
                <w:lang w:val="en-GB"/>
              </w:rPr>
            </w:pPr>
          </w:p>
        </w:tc>
        <w:tc>
          <w:tcPr>
            <w:tcW w:w="6268" w:type="dxa"/>
            <w:tcBorders>
              <w:left w:val="nil"/>
              <w:bottom w:val="nil"/>
            </w:tcBorders>
          </w:tcPr>
          <w:p w:rsidR="003506B4" w:rsidRPr="003506B4" w:rsidRDefault="003506B4" w:rsidP="003506B4">
            <w:pPr>
              <w:rPr>
                <w:lang w:val="en-GB"/>
              </w:rPr>
            </w:pPr>
          </w:p>
        </w:tc>
      </w:tr>
      <w:tr w:rsidR="003506B4" w:rsidRPr="003506B4" w:rsidTr="00D05028">
        <w:tc>
          <w:tcPr>
            <w:tcW w:w="2376" w:type="dxa"/>
            <w:tcBorders>
              <w:top w:val="nil"/>
              <w:bottom w:val="nil"/>
              <w:right w:val="nil"/>
            </w:tcBorders>
          </w:tcPr>
          <w:p w:rsidR="003506B4" w:rsidRPr="003506B4" w:rsidRDefault="003506B4" w:rsidP="003506B4">
            <w:pPr>
              <w:rPr>
                <w:lang w:val="en-GB"/>
              </w:rPr>
            </w:pPr>
            <w:r w:rsidRPr="003506B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Informal employment</w:t>
            </w:r>
          </w:p>
        </w:tc>
        <w:tc>
          <w:tcPr>
            <w:tcW w:w="6268" w:type="dxa"/>
            <w:tcBorders>
              <w:top w:val="nil"/>
              <w:left w:val="nil"/>
              <w:bottom w:val="nil"/>
            </w:tcBorders>
          </w:tcPr>
          <w:p w:rsidR="003506B4" w:rsidRPr="003506B4" w:rsidRDefault="003506B4" w:rsidP="003506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506B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Those in informal employment generally lack labour rights. They are therefore susceptible to sudden unemployment, and the dangers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r w:rsidRPr="003506B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accruing to unprotected working conditions (long hours, poor pay,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r w:rsidRPr="003506B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insanitary or unsafe conditions) (Potter and Lloyd, 1998)</w:t>
            </w:r>
          </w:p>
          <w:p w:rsidR="003506B4" w:rsidRPr="003506B4" w:rsidRDefault="003506B4" w:rsidP="003506B4">
            <w:pPr>
              <w:rPr>
                <w:lang w:val="en-GB"/>
              </w:rPr>
            </w:pPr>
          </w:p>
        </w:tc>
      </w:tr>
      <w:tr w:rsidR="003506B4" w:rsidRPr="003506B4" w:rsidTr="00D05028">
        <w:tc>
          <w:tcPr>
            <w:tcW w:w="2376" w:type="dxa"/>
            <w:tcBorders>
              <w:top w:val="nil"/>
              <w:bottom w:val="nil"/>
              <w:right w:val="nil"/>
            </w:tcBorders>
          </w:tcPr>
          <w:p w:rsidR="003506B4" w:rsidRPr="003506B4" w:rsidRDefault="003506B4" w:rsidP="003506B4">
            <w:pPr>
              <w:rPr>
                <w:lang w:val="en-GB"/>
              </w:rPr>
            </w:pPr>
            <w:r w:rsidRPr="003506B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Shelter and land</w:t>
            </w:r>
          </w:p>
        </w:tc>
        <w:tc>
          <w:tcPr>
            <w:tcW w:w="6268" w:type="dxa"/>
            <w:tcBorders>
              <w:top w:val="nil"/>
              <w:left w:val="nil"/>
              <w:bottom w:val="nil"/>
            </w:tcBorders>
          </w:tcPr>
          <w:p w:rsidR="003506B4" w:rsidRPr="003506B4" w:rsidRDefault="003506B4" w:rsidP="003506B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3506B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Urban residents living on illegally occupied land or in informal low cost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r w:rsidRPr="003506B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rental housing lack legal tenure rights. As such they experience poor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r w:rsidRPr="003506B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housing quality and face the threat of summary eviction. Linked to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r w:rsidRPr="003506B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housing rights, those residents undertaking urban agriculture may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r w:rsidRPr="003506B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also lack legal tenure, and risk losing their land and crops.</w:t>
            </w:r>
          </w:p>
          <w:p w:rsidR="003506B4" w:rsidRPr="003506B4" w:rsidRDefault="003506B4" w:rsidP="003506B4">
            <w:pPr>
              <w:rPr>
                <w:lang w:val="en-GB"/>
              </w:rPr>
            </w:pPr>
          </w:p>
        </w:tc>
      </w:tr>
      <w:tr w:rsidR="003506B4" w:rsidRPr="003506B4" w:rsidTr="00D05028">
        <w:tc>
          <w:tcPr>
            <w:tcW w:w="2376" w:type="dxa"/>
            <w:tcBorders>
              <w:top w:val="nil"/>
              <w:bottom w:val="nil"/>
              <w:right w:val="nil"/>
            </w:tcBorders>
          </w:tcPr>
          <w:p w:rsidR="003506B4" w:rsidRPr="003506B4" w:rsidRDefault="003506B4" w:rsidP="003506B4">
            <w:pPr>
              <w:rPr>
                <w:lang w:val="en-GB"/>
              </w:rPr>
            </w:pPr>
            <w:r w:rsidRPr="003506B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Political rights</w:t>
            </w:r>
          </w:p>
        </w:tc>
        <w:tc>
          <w:tcPr>
            <w:tcW w:w="6268" w:type="dxa"/>
            <w:tcBorders>
              <w:top w:val="nil"/>
              <w:left w:val="nil"/>
              <w:bottom w:val="nil"/>
            </w:tcBorders>
          </w:tcPr>
          <w:p w:rsidR="003506B4" w:rsidRPr="003506B4" w:rsidRDefault="003506B4" w:rsidP="003506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506B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Informal residents lacking legal registration may be disenfranchised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r w:rsidRPr="003506B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and excluded from political decision making and, in addition, may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r w:rsidRPr="003506B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suffer from police harassment and bureaucracy (</w:t>
            </w:r>
            <w:proofErr w:type="spellStart"/>
            <w:r w:rsidRPr="003506B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Wratten</w:t>
            </w:r>
            <w:proofErr w:type="spellEnd"/>
            <w:r w:rsidRPr="003506B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, 1995) </w:t>
            </w:r>
          </w:p>
          <w:p w:rsidR="003506B4" w:rsidRPr="003506B4" w:rsidRDefault="003506B4" w:rsidP="003506B4">
            <w:pPr>
              <w:rPr>
                <w:lang w:val="en-GB"/>
              </w:rPr>
            </w:pPr>
          </w:p>
        </w:tc>
      </w:tr>
      <w:tr w:rsidR="003506B4" w:rsidRPr="003506B4" w:rsidTr="00D05028">
        <w:tc>
          <w:tcPr>
            <w:tcW w:w="2376" w:type="dxa"/>
            <w:tcBorders>
              <w:top w:val="nil"/>
              <w:bottom w:val="single" w:sz="4" w:space="0" w:color="000000" w:themeColor="text1"/>
              <w:right w:val="nil"/>
            </w:tcBorders>
          </w:tcPr>
          <w:p w:rsidR="003506B4" w:rsidRPr="003506B4" w:rsidRDefault="003506B4" w:rsidP="003506B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3506B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Services and</w:t>
            </w:r>
          </w:p>
          <w:p w:rsidR="003506B4" w:rsidRPr="003506B4" w:rsidRDefault="003506B4" w:rsidP="003506B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3506B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infrastructure</w:t>
            </w:r>
          </w:p>
          <w:p w:rsidR="003506B4" w:rsidRPr="003506B4" w:rsidRDefault="003506B4" w:rsidP="003506B4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000000" w:themeColor="text1"/>
            </w:tcBorders>
          </w:tcPr>
          <w:p w:rsidR="003506B4" w:rsidRPr="003506B4" w:rsidRDefault="003506B4" w:rsidP="003506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506B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Lack of legal status may also limit the access of informal residents to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r w:rsidRPr="003506B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basic social services (health and education), or financial services (e.g.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r w:rsidRPr="003506B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bank loans). In addition, the prevalence of illegal connections to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r w:rsidRPr="003506B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infrastructure (such as electricity or water) mean that many informal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r w:rsidRPr="003506B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residents are vulnerable to the sudden withdrawal of key services,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r w:rsidRPr="003506B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and may also be fined or punished in some way for illegal use of</w:t>
            </w:r>
            <w:r w:rsidR="00D05028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r w:rsidRPr="003506B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these services.</w:t>
            </w:r>
          </w:p>
          <w:p w:rsidR="003506B4" w:rsidRPr="003506B4" w:rsidRDefault="003506B4" w:rsidP="003506B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D05028" w:rsidRPr="003506B4" w:rsidTr="00D05028">
        <w:tc>
          <w:tcPr>
            <w:tcW w:w="8644" w:type="dxa"/>
            <w:gridSpan w:val="2"/>
            <w:tcBorders>
              <w:bottom w:val="nil"/>
            </w:tcBorders>
          </w:tcPr>
          <w:p w:rsidR="00D05028" w:rsidRPr="003506B4" w:rsidRDefault="00D05028" w:rsidP="00D0502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3506B4">
              <w:rPr>
                <w:rFonts w:ascii="Arial Black" w:hAnsi="Arial Black" w:cs="Arial Black"/>
                <w:b/>
                <w:bCs/>
                <w:color w:val="000000"/>
                <w:sz w:val="20"/>
                <w:szCs w:val="20"/>
                <w:lang w:val="en-GB"/>
              </w:rPr>
              <w:t>The local environment</w:t>
            </w:r>
          </w:p>
          <w:p w:rsidR="00D05028" w:rsidRPr="003506B4" w:rsidRDefault="00D05028" w:rsidP="003506B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3506B4" w:rsidRPr="003506B4" w:rsidTr="00D05028">
        <w:tc>
          <w:tcPr>
            <w:tcW w:w="2376" w:type="dxa"/>
            <w:tcBorders>
              <w:top w:val="nil"/>
              <w:bottom w:val="nil"/>
              <w:right w:val="nil"/>
            </w:tcBorders>
          </w:tcPr>
          <w:p w:rsidR="003506B4" w:rsidRPr="003506B4" w:rsidRDefault="003506B4" w:rsidP="003506B4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3506B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Physical environment</w:t>
            </w:r>
          </w:p>
        </w:tc>
        <w:tc>
          <w:tcPr>
            <w:tcW w:w="6268" w:type="dxa"/>
            <w:tcBorders>
              <w:top w:val="nil"/>
              <w:left w:val="nil"/>
              <w:bottom w:val="nil"/>
            </w:tcBorders>
          </w:tcPr>
          <w:p w:rsidR="003506B4" w:rsidRPr="003506B4" w:rsidRDefault="003506B4" w:rsidP="003506B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3506B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Poor living environments often endanger the lives and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h</w:t>
            </w:r>
            <w:r w:rsidRPr="003506B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ealth of the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r w:rsidRPr="003506B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urban poor, especially where they are forced to live and work in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r w:rsidRPr="003506B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marginal areas through lack of cheap alternatives. This creates further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r w:rsidRPr="003506B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vulnerability, as ill health undermines one of the chief assets of the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r w:rsidRPr="003506B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urban poor -their labour (</w:t>
            </w:r>
            <w:proofErr w:type="spellStart"/>
            <w:r w:rsidRPr="003506B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Satterthwaite</w:t>
            </w:r>
            <w:proofErr w:type="spellEnd"/>
            <w:r w:rsidRPr="003506B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, 1997)</w:t>
            </w:r>
          </w:p>
          <w:p w:rsidR="003506B4" w:rsidRPr="003506B4" w:rsidRDefault="003506B4" w:rsidP="003506B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3506B4" w:rsidRPr="003506B4" w:rsidTr="00D05028">
        <w:tc>
          <w:tcPr>
            <w:tcW w:w="2376" w:type="dxa"/>
            <w:tcBorders>
              <w:top w:val="nil"/>
              <w:bottom w:val="single" w:sz="4" w:space="0" w:color="000000" w:themeColor="text1"/>
              <w:right w:val="nil"/>
            </w:tcBorders>
          </w:tcPr>
          <w:p w:rsidR="003506B4" w:rsidRPr="00D05028" w:rsidRDefault="003506B4" w:rsidP="003506B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05028">
              <w:rPr>
                <w:rFonts w:ascii="Arial" w:hAnsi="Arial" w:cs="Arial"/>
                <w:bCs/>
                <w:color w:val="000000"/>
                <w:sz w:val="20"/>
                <w:szCs w:val="20"/>
                <w:lang w:val="en-GB"/>
              </w:rPr>
              <w:t>Social Environment</w:t>
            </w:r>
          </w:p>
          <w:p w:rsidR="003506B4" w:rsidRPr="003506B4" w:rsidRDefault="003506B4" w:rsidP="003506B4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000000" w:themeColor="text1"/>
            </w:tcBorders>
          </w:tcPr>
          <w:p w:rsidR="003506B4" w:rsidRPr="003506B4" w:rsidRDefault="003506B4" w:rsidP="003506B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3506B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As noted in section 3.2., the social context in cities may be</w:t>
            </w:r>
          </w:p>
          <w:p w:rsidR="003506B4" w:rsidRPr="003506B4" w:rsidRDefault="003506B4" w:rsidP="003506B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proofErr w:type="gramStart"/>
            <w:r w:rsidRPr="003506B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characterised</w:t>
            </w:r>
            <w:proofErr w:type="gramEnd"/>
            <w:r w:rsidRPr="003506B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by crime, fragmentation and other social problems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r w:rsidRPr="003506B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which will reduce the ability of households to support on another in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r w:rsidRPr="003506B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order to further their livelihood strategies (</w:t>
            </w:r>
            <w:proofErr w:type="spellStart"/>
            <w:r w:rsidRPr="003506B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Wratten</w:t>
            </w:r>
            <w:proofErr w:type="spellEnd"/>
            <w:r w:rsidRPr="003506B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, 1995). In addition,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r w:rsidRPr="003506B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poor men and women may be excluded from livelihood opportunities</w:t>
            </w:r>
            <w:r w:rsidR="00D05028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r w:rsidRPr="003506B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due to differences such as culture/ethnicity which result in their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r w:rsidRPr="003506B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exclusion from social networks (</w:t>
            </w:r>
            <w:proofErr w:type="spellStart"/>
            <w:r w:rsidRPr="003506B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Beall</w:t>
            </w:r>
            <w:proofErr w:type="spellEnd"/>
            <w:r w:rsidRPr="003506B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and Kanji, 1999)</w:t>
            </w:r>
          </w:p>
          <w:p w:rsidR="003506B4" w:rsidRPr="003506B4" w:rsidRDefault="003506B4" w:rsidP="003506B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3506B4" w:rsidRPr="003506B4" w:rsidTr="00D05028">
        <w:tc>
          <w:tcPr>
            <w:tcW w:w="2376" w:type="dxa"/>
            <w:tcBorders>
              <w:right w:val="nil"/>
            </w:tcBorders>
          </w:tcPr>
          <w:p w:rsidR="003506B4" w:rsidRPr="003506B4" w:rsidRDefault="003506B4" w:rsidP="003506B4">
            <w:pPr>
              <w:autoSpaceDE w:val="0"/>
              <w:autoSpaceDN w:val="0"/>
              <w:adjustRightInd w:val="0"/>
              <w:rPr>
                <w:rFonts w:ascii="Arial Black" w:hAnsi="Arial Black" w:cs="Arial Black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3506B4">
              <w:rPr>
                <w:rFonts w:ascii="Arial Black" w:hAnsi="Arial Black" w:cs="Arial Black"/>
                <w:b/>
                <w:bCs/>
                <w:color w:val="000000"/>
                <w:sz w:val="20"/>
                <w:szCs w:val="20"/>
                <w:lang w:val="en-GB"/>
              </w:rPr>
              <w:t>Dependence on the</w:t>
            </w:r>
          </w:p>
          <w:p w:rsidR="003506B4" w:rsidRPr="003506B4" w:rsidRDefault="003506B4" w:rsidP="003506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506B4">
              <w:rPr>
                <w:rFonts w:ascii="Arial Black" w:hAnsi="Arial Black" w:cs="Arial Black"/>
                <w:b/>
                <w:bCs/>
                <w:color w:val="000000"/>
                <w:sz w:val="20"/>
                <w:szCs w:val="20"/>
                <w:lang w:val="en-GB"/>
              </w:rPr>
              <w:t xml:space="preserve">cash economy </w:t>
            </w:r>
          </w:p>
          <w:p w:rsidR="003506B4" w:rsidRPr="003506B4" w:rsidRDefault="003506B4" w:rsidP="003506B4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6268" w:type="dxa"/>
            <w:tcBorders>
              <w:left w:val="nil"/>
            </w:tcBorders>
          </w:tcPr>
          <w:p w:rsidR="003506B4" w:rsidRPr="003506B4" w:rsidRDefault="003506B4" w:rsidP="003506B4">
            <w:pPr>
              <w:autoSpaceDE w:val="0"/>
              <w:autoSpaceDN w:val="0"/>
              <w:adjustRightInd w:val="0"/>
              <w:rPr>
                <w:lang w:val="en-GB"/>
              </w:rPr>
            </w:pPr>
            <w:r w:rsidRPr="003506B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‘Free’ goods and services, such as common land, clean water and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r w:rsidRPr="003506B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fuel, are rare in cities. Most of the basic living needs of urban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r w:rsidRPr="003506B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residents must be paid for in cash - making the urban poor particularly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r w:rsidRPr="003506B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vulnerable to market vagaries such as inflation, and the removal of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gramStart"/>
            <w:r w:rsidRPr="003506B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governments</w:t>
            </w:r>
            <w:proofErr w:type="gramEnd"/>
            <w:r w:rsidRPr="003506B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subsidies (Moser 98). In addition dependence on the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r w:rsidRPr="003506B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cash economy frequently means that poor households are vulnerable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r w:rsidRPr="003506B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to debt (especially where they cannot rely on informal on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s</w:t>
            </w:r>
            <w:r w:rsidRPr="003506B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ocial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r w:rsidRPr="003506B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networks for loans). Borrowing, normally at usurious rates, may lead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r w:rsidRPr="003506B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to long term indebtedness with disastrous results such as bonded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r w:rsidRPr="003506B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child labour.</w:t>
            </w:r>
          </w:p>
          <w:p w:rsidR="003506B4" w:rsidRPr="003506B4" w:rsidRDefault="003506B4" w:rsidP="003506B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</w:tbl>
    <w:p w:rsidR="00962E0C" w:rsidRPr="003506B4" w:rsidRDefault="00962E0C" w:rsidP="00D05028">
      <w:pPr>
        <w:rPr>
          <w:lang w:val="en-GB"/>
        </w:rPr>
      </w:pPr>
    </w:p>
    <w:sectPr w:rsidR="00962E0C" w:rsidRPr="003506B4" w:rsidSect="00962E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06B4"/>
    <w:rsid w:val="003506B4"/>
    <w:rsid w:val="00962E0C"/>
    <w:rsid w:val="00D05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E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506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443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Alonso</dc:creator>
  <cp:lastModifiedBy>Roger Alonso</cp:lastModifiedBy>
  <cp:revision>1</cp:revision>
  <dcterms:created xsi:type="dcterms:W3CDTF">2015-12-08T18:17:00Z</dcterms:created>
  <dcterms:modified xsi:type="dcterms:W3CDTF">2015-12-08T18:35:00Z</dcterms:modified>
</cp:coreProperties>
</file>