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D3" w:rsidRPr="002A097A" w:rsidRDefault="00933B40" w:rsidP="009120CB">
      <w:pPr>
        <w:spacing w:after="0" w:line="257" w:lineRule="auto"/>
        <w:jc w:val="center"/>
        <w:rPr>
          <w:rFonts w:eastAsia="Times New Roman" w:cs="Arial"/>
          <w:color w:val="C00000"/>
          <w:sz w:val="36"/>
          <w:szCs w:val="40"/>
        </w:rPr>
      </w:pPr>
      <w:r w:rsidRPr="002A097A">
        <w:rPr>
          <w:color w:val="C00000"/>
          <w:sz w:val="36"/>
        </w:rPr>
        <w:t>Análisis de riesgos</w:t>
      </w:r>
    </w:p>
    <w:p w:rsidR="00933B40" w:rsidRDefault="00F92A47" w:rsidP="009120CB">
      <w:pPr>
        <w:autoSpaceDE w:val="0"/>
        <w:autoSpaceDN w:val="0"/>
        <w:adjustRightInd w:val="0"/>
        <w:spacing w:after="0" w:line="257" w:lineRule="auto"/>
        <w:jc w:val="center"/>
        <w:rPr>
          <w:rFonts w:cs="Goudy-Bold"/>
          <w:bCs/>
          <w:i/>
          <w:color w:val="808080" w:themeColor="background1" w:themeShade="80"/>
          <w:szCs w:val="26"/>
        </w:rPr>
      </w:pPr>
      <w:r w:rsidRPr="002A097A">
        <w:rPr>
          <w:i/>
          <w:color w:val="808080" w:themeColor="background1" w:themeShade="80"/>
        </w:rPr>
        <w:t xml:space="preserve">Fuentes: </w:t>
      </w:r>
      <w:r w:rsidR="008551EB" w:rsidRPr="002A097A">
        <w:rPr>
          <w:i/>
          <w:color w:val="808080" w:themeColor="background1" w:themeShade="80"/>
        </w:rPr>
        <w:t xml:space="preserve">ODI (2011, Enero). </w:t>
      </w:r>
      <w:r w:rsidRPr="008551EB">
        <w:rPr>
          <w:i/>
          <w:color w:val="808080" w:themeColor="background1" w:themeShade="80"/>
          <w:lang w:val="en-US"/>
        </w:rPr>
        <w:t>Risk in humanitarian</w:t>
      </w:r>
      <w:r w:rsidR="008551EB">
        <w:rPr>
          <w:i/>
          <w:color w:val="808080" w:themeColor="background1" w:themeShade="80"/>
          <w:lang w:val="en-US"/>
        </w:rPr>
        <w:t xml:space="preserve"> </w:t>
      </w:r>
      <w:r w:rsidRPr="008551EB">
        <w:rPr>
          <w:i/>
          <w:color w:val="808080" w:themeColor="background1" w:themeShade="80"/>
          <w:lang w:val="en-US"/>
        </w:rPr>
        <w:t xml:space="preserve">action: towards a common approach? </w:t>
      </w:r>
      <w:r>
        <w:rPr>
          <w:i/>
          <w:color w:val="808080" w:themeColor="background1" w:themeShade="80"/>
        </w:rPr>
        <w:t>(El riesgo en la acción humanitaria: ¿hacia un planteamiento común?)</w:t>
      </w:r>
      <w:r w:rsidR="008551EB">
        <w:rPr>
          <w:i/>
          <w:color w:val="808080" w:themeColor="background1" w:themeShade="80"/>
        </w:rPr>
        <w:t>,</w:t>
      </w:r>
      <w:r>
        <w:rPr>
          <w:i/>
          <w:color w:val="808080" w:themeColor="background1" w:themeShade="80"/>
        </w:rPr>
        <w:t xml:space="preserve"> </w:t>
      </w:r>
      <w:r w:rsidR="008551EB">
        <w:rPr>
          <w:i/>
          <w:color w:val="808080" w:themeColor="background1" w:themeShade="80"/>
        </w:rPr>
        <w:t>d</w:t>
      </w:r>
      <w:r>
        <w:rPr>
          <w:i/>
          <w:color w:val="808080" w:themeColor="background1" w:themeShade="80"/>
        </w:rPr>
        <w:t xml:space="preserve">ocumento encargado por </w:t>
      </w:r>
      <w:proofErr w:type="spellStart"/>
      <w:r>
        <w:rPr>
          <w:i/>
          <w:color w:val="808080" w:themeColor="background1" w:themeShade="80"/>
        </w:rPr>
        <w:t>Humanitarian</w:t>
      </w:r>
      <w:proofErr w:type="spellEnd"/>
      <w:r>
        <w:rPr>
          <w:i/>
          <w:color w:val="808080" w:themeColor="background1" w:themeShade="80"/>
        </w:rPr>
        <w:t xml:space="preserve"> </w:t>
      </w:r>
      <w:proofErr w:type="spellStart"/>
      <w:r>
        <w:rPr>
          <w:i/>
          <w:color w:val="808080" w:themeColor="background1" w:themeShade="80"/>
        </w:rPr>
        <w:t>Policy</w:t>
      </w:r>
      <w:proofErr w:type="spellEnd"/>
      <w:r>
        <w:rPr>
          <w:i/>
          <w:color w:val="808080" w:themeColor="background1" w:themeShade="80"/>
        </w:rPr>
        <w:t xml:space="preserve"> </w:t>
      </w:r>
      <w:proofErr w:type="spellStart"/>
      <w:r>
        <w:rPr>
          <w:i/>
          <w:color w:val="808080" w:themeColor="background1" w:themeShade="80"/>
        </w:rPr>
        <w:t>Group</w:t>
      </w:r>
      <w:proofErr w:type="spellEnd"/>
      <w:r>
        <w:rPr>
          <w:i/>
          <w:color w:val="808080" w:themeColor="background1" w:themeShade="80"/>
        </w:rPr>
        <w:t xml:space="preserve"> (HPG, Grupo de Política Humanitaria). </w:t>
      </w:r>
    </w:p>
    <w:p w:rsidR="004B2525" w:rsidRPr="004B2525" w:rsidRDefault="008551EB" w:rsidP="009120CB">
      <w:pPr>
        <w:autoSpaceDE w:val="0"/>
        <w:autoSpaceDN w:val="0"/>
        <w:adjustRightInd w:val="0"/>
        <w:spacing w:after="0" w:line="257" w:lineRule="auto"/>
        <w:jc w:val="center"/>
        <w:rPr>
          <w:rFonts w:cs="Goudy-Bold"/>
          <w:bCs/>
          <w:i/>
          <w:color w:val="808080" w:themeColor="background1" w:themeShade="80"/>
          <w:szCs w:val="26"/>
        </w:rPr>
      </w:pPr>
      <w:r>
        <w:rPr>
          <w:i/>
          <w:color w:val="808080" w:themeColor="background1" w:themeShade="80"/>
        </w:rPr>
        <w:t xml:space="preserve">FICR/CICR. </w:t>
      </w:r>
      <w:r w:rsidR="001F0BD3">
        <w:rPr>
          <w:i/>
          <w:color w:val="808080" w:themeColor="background1" w:themeShade="80"/>
        </w:rPr>
        <w:t>Caja de herramientas para programas de transferencias de efectivo (PTE) en emergencias</w:t>
      </w:r>
      <w:r>
        <w:rPr>
          <w:i/>
          <w:color w:val="808080" w:themeColor="background1" w:themeShade="80"/>
        </w:rPr>
        <w:t>.</w:t>
      </w:r>
      <w:r w:rsidR="001F0BD3">
        <w:rPr>
          <w:i/>
          <w:color w:val="808080" w:themeColor="background1" w:themeShade="80"/>
        </w:rPr>
        <w:t xml:space="preserve"> </w:t>
      </w:r>
      <w:r>
        <w:rPr>
          <w:i/>
          <w:color w:val="808080" w:themeColor="background1" w:themeShade="80"/>
        </w:rPr>
        <w:t>M</w:t>
      </w:r>
      <w:r w:rsidR="001F0BD3">
        <w:rPr>
          <w:i/>
          <w:color w:val="808080" w:themeColor="background1" w:themeShade="80"/>
        </w:rPr>
        <w:t xml:space="preserve">odelos 1_4_2 CTP </w:t>
      </w:r>
      <w:proofErr w:type="spellStart"/>
      <w:r w:rsidR="001F0BD3">
        <w:rPr>
          <w:i/>
          <w:color w:val="808080" w:themeColor="background1" w:themeShade="80"/>
        </w:rPr>
        <w:t>Risk</w:t>
      </w:r>
      <w:proofErr w:type="spellEnd"/>
      <w:r w:rsidR="001F0BD3">
        <w:rPr>
          <w:i/>
          <w:color w:val="808080" w:themeColor="background1" w:themeShade="80"/>
        </w:rPr>
        <w:t xml:space="preserve"> </w:t>
      </w:r>
      <w:proofErr w:type="spellStart"/>
      <w:r w:rsidR="001F0BD3">
        <w:rPr>
          <w:i/>
          <w:color w:val="808080" w:themeColor="background1" w:themeShade="80"/>
        </w:rPr>
        <w:t>matrix</w:t>
      </w:r>
      <w:proofErr w:type="spellEnd"/>
      <w:r w:rsidR="001F0BD3">
        <w:rPr>
          <w:i/>
          <w:color w:val="808080" w:themeColor="background1" w:themeShade="80"/>
        </w:rPr>
        <w:t xml:space="preserve"> </w:t>
      </w:r>
      <w:proofErr w:type="spellStart"/>
      <w:r w:rsidR="001F0BD3">
        <w:rPr>
          <w:i/>
          <w:color w:val="808080" w:themeColor="background1" w:themeShade="80"/>
        </w:rPr>
        <w:t>template</w:t>
      </w:r>
      <w:proofErr w:type="spellEnd"/>
      <w:r w:rsidR="001F0BD3">
        <w:rPr>
          <w:i/>
          <w:color w:val="808080" w:themeColor="background1" w:themeShade="80"/>
        </w:rPr>
        <w:t xml:space="preserve"> y 1_4_3 CTP Risk register template.</w:t>
      </w:r>
    </w:p>
    <w:p w:rsidR="00A00CA2" w:rsidRDefault="00A00CA2" w:rsidP="009120CB">
      <w:pPr>
        <w:spacing w:after="0" w:line="257" w:lineRule="auto"/>
        <w:jc w:val="both"/>
        <w:rPr>
          <w:rFonts w:eastAsia="Times New Roman" w:cs="Times New Roman"/>
        </w:rPr>
      </w:pPr>
    </w:p>
    <w:p w:rsidR="00912EE8" w:rsidRDefault="00912EE8" w:rsidP="009120CB">
      <w:pPr>
        <w:spacing w:after="0" w:line="257" w:lineRule="auto"/>
        <w:jc w:val="both"/>
        <w:rPr>
          <w:rFonts w:eastAsia="Times New Roman" w:cs="Times New Roman"/>
        </w:rPr>
      </w:pPr>
    </w:p>
    <w:p w:rsidR="001F0BD3" w:rsidRPr="001F0BD3" w:rsidRDefault="001F0BD3" w:rsidP="009120CB">
      <w:pPr>
        <w:spacing w:after="0" w:line="257" w:lineRule="auto"/>
        <w:jc w:val="both"/>
        <w:rPr>
          <w:rFonts w:eastAsia="Times New Roman" w:cs="Times New Roman"/>
        </w:rPr>
      </w:pPr>
      <w:r>
        <w:t xml:space="preserve">El análisis de riesgos es una parte integral del diseño y de la ejecución de cualquier respuesta, particularmente en entornos complejos. El equipo del programa debe planificar con antelación suficiente tanto el análisis de riesgos como las medidas para mitigarlos y tenerlos en cuenta durante todo el ciclo del proyecto. </w:t>
      </w:r>
    </w:p>
    <w:p w:rsidR="001F0BD3" w:rsidRDefault="001F0BD3" w:rsidP="009120CB">
      <w:pPr>
        <w:spacing w:after="0" w:line="257" w:lineRule="auto"/>
        <w:jc w:val="both"/>
        <w:rPr>
          <w:rFonts w:eastAsia="Times New Roman" w:cs="Times New Roman"/>
        </w:rPr>
      </w:pPr>
    </w:p>
    <w:p w:rsidR="006B5631" w:rsidRDefault="006B5631" w:rsidP="009120CB">
      <w:pPr>
        <w:spacing w:after="0" w:line="257" w:lineRule="auto"/>
        <w:jc w:val="both"/>
        <w:rPr>
          <w:rFonts w:eastAsia="Times New Roman" w:cs="Times New Roman"/>
        </w:rPr>
      </w:pPr>
      <w:r>
        <w:t>Este documento recoge y explica a los trabajadores humanitarios dos aspectos principales relativos al análisis de riesgos:</w:t>
      </w:r>
    </w:p>
    <w:p w:rsidR="006B5631" w:rsidRDefault="006B5631" w:rsidP="009120CB">
      <w:pPr>
        <w:pStyle w:val="Prrafodelista"/>
        <w:numPr>
          <w:ilvl w:val="0"/>
          <w:numId w:val="21"/>
        </w:numPr>
        <w:spacing w:after="0" w:line="257" w:lineRule="auto"/>
        <w:jc w:val="both"/>
        <w:rPr>
          <w:rFonts w:eastAsia="Times New Roman" w:cs="Times New Roman"/>
        </w:rPr>
      </w:pPr>
      <w:r>
        <w:t>¿Qué es un riesgo? ¿Qué tipo de riesgos hay que tener en cuenta cuando se define una intervención?</w:t>
      </w:r>
    </w:p>
    <w:p w:rsidR="006E3B76" w:rsidRDefault="006B5631" w:rsidP="009120CB">
      <w:pPr>
        <w:pStyle w:val="Prrafodelista"/>
        <w:numPr>
          <w:ilvl w:val="0"/>
          <w:numId w:val="21"/>
        </w:numPr>
        <w:spacing w:after="0" w:line="257" w:lineRule="auto"/>
        <w:jc w:val="both"/>
        <w:rPr>
          <w:rFonts w:eastAsia="Times New Roman" w:cs="Times New Roman"/>
        </w:rPr>
      </w:pPr>
      <w:r>
        <w:t xml:space="preserve">La forma de analizar los riesgos principales, su importancia, su relación con la intervención y las medidas de mitigación y/o minimización que ayuden con el análisis de respuestas y el proceso decisorio. </w:t>
      </w:r>
    </w:p>
    <w:p w:rsidR="006E3B76" w:rsidRPr="006E3B76" w:rsidRDefault="006E3B76" w:rsidP="009120CB">
      <w:pPr>
        <w:pStyle w:val="Prrafodelista"/>
        <w:spacing w:after="0" w:line="257" w:lineRule="auto"/>
        <w:jc w:val="both"/>
        <w:rPr>
          <w:rFonts w:eastAsia="Times New Roman" w:cs="Times New Roman"/>
        </w:rPr>
      </w:pPr>
      <w:r>
        <w:t>Este segundo punto incluye modelos y/o herramientas de apoyo para tabular los datos y elaborar el análisis.</w:t>
      </w:r>
    </w:p>
    <w:p w:rsidR="006E3B76" w:rsidRDefault="006E3B76" w:rsidP="009120CB">
      <w:pPr>
        <w:spacing w:after="0" w:line="257" w:lineRule="auto"/>
        <w:jc w:val="both"/>
        <w:rPr>
          <w:rFonts w:eastAsia="Times New Roman" w:cs="Times New Roman"/>
        </w:rPr>
      </w:pPr>
    </w:p>
    <w:p w:rsidR="001F0BD3" w:rsidRDefault="001F0BD3" w:rsidP="009120CB">
      <w:pPr>
        <w:spacing w:after="0" w:line="257" w:lineRule="auto"/>
        <w:jc w:val="both"/>
        <w:rPr>
          <w:rFonts w:eastAsia="Times New Roman" w:cs="Times New Roman"/>
        </w:rPr>
      </w:pPr>
    </w:p>
    <w:p w:rsidR="009120CB" w:rsidRDefault="009120CB" w:rsidP="009120CB">
      <w:pPr>
        <w:spacing w:after="0" w:line="257" w:lineRule="auto"/>
        <w:jc w:val="both"/>
        <w:rPr>
          <w:rFonts w:eastAsia="Times New Roman" w:cs="Times New Roman"/>
        </w:rPr>
      </w:pPr>
    </w:p>
    <w:p w:rsidR="00380D25" w:rsidRDefault="00380D25" w:rsidP="009120CB">
      <w:pPr>
        <w:spacing w:after="0" w:line="257" w:lineRule="auto"/>
        <w:jc w:val="both"/>
        <w:rPr>
          <w:rFonts w:eastAsia="Times New Roman" w:cs="Times New Roman"/>
        </w:rPr>
      </w:pPr>
      <w:r>
        <w:t>La primera parte de este documento, que se basa en el del HPG, explica cuáles son los principales riesgos que hay que evaluar y analizar a la hora de definir una intervención humanitaria.</w:t>
      </w:r>
    </w:p>
    <w:p w:rsidR="00F1180E" w:rsidRDefault="00F1180E" w:rsidP="009120CB">
      <w:pPr>
        <w:spacing w:after="0" w:line="257" w:lineRule="auto"/>
        <w:jc w:val="both"/>
        <w:rPr>
          <w:rFonts w:eastAsia="Times New Roman" w:cs="Times New Roman"/>
        </w:rPr>
      </w:pPr>
    </w:p>
    <w:p w:rsidR="0021097B" w:rsidRDefault="0021097B" w:rsidP="009120CB">
      <w:pPr>
        <w:spacing w:after="0" w:line="257" w:lineRule="auto"/>
        <w:jc w:val="both"/>
        <w:rPr>
          <w:rFonts w:eastAsia="Times New Roman" w:cs="Times New Roman"/>
        </w:rPr>
      </w:pPr>
      <w:r>
        <w:t>Con el propósito de ayudar a los trabajadores humanitarios a hacer este análisis, se agrupan los riesgos en tres categorías: contextuales, programáticos e institucionales (con ejemplos sobre cada una).</w:t>
      </w:r>
    </w:p>
    <w:p w:rsidR="00F1180E" w:rsidRDefault="00F1180E" w:rsidP="009120CB">
      <w:pPr>
        <w:spacing w:after="0" w:line="257" w:lineRule="auto"/>
        <w:jc w:val="both"/>
        <w:rPr>
          <w:rFonts w:eastAsia="Times New Roman" w:cs="Times New Roman"/>
        </w:rPr>
      </w:pPr>
    </w:p>
    <w:p w:rsidR="00A758A3" w:rsidRPr="00A758A3" w:rsidRDefault="00A758A3" w:rsidP="009120CB">
      <w:pPr>
        <w:spacing w:after="0" w:line="257" w:lineRule="auto"/>
        <w:jc w:val="both"/>
        <w:rPr>
          <w:rFonts w:eastAsia="Times New Roman" w:cs="Times New Roman"/>
          <w:b/>
          <w:color w:val="C00000"/>
        </w:rPr>
      </w:pPr>
      <w:r>
        <w:rPr>
          <w:b/>
          <w:color w:val="C00000"/>
        </w:rPr>
        <w:t>¿Qué es el riesgo?</w:t>
      </w:r>
    </w:p>
    <w:p w:rsidR="00A758A3" w:rsidRDefault="00A758A3" w:rsidP="009120CB">
      <w:pPr>
        <w:spacing w:after="0" w:line="257" w:lineRule="auto"/>
        <w:jc w:val="both"/>
        <w:rPr>
          <w:rFonts w:eastAsia="Times New Roman" w:cs="Times New Roman"/>
        </w:rPr>
      </w:pPr>
      <w:r>
        <w:t xml:space="preserve">Se puede entender el riesgo en relación con el </w:t>
      </w:r>
      <w:r>
        <w:rPr>
          <w:b/>
        </w:rPr>
        <w:t>concepto de perjuicio futuro, la probabilidad de que un evento perjudicial o un peligro se materialicen y la probable gravedad del impacto de ese evento o peligro</w:t>
      </w:r>
      <w:r>
        <w:t xml:space="preserve">. </w:t>
      </w:r>
    </w:p>
    <w:p w:rsidR="00A758A3" w:rsidRDefault="00A758A3" w:rsidP="009120CB">
      <w:pPr>
        <w:spacing w:after="0" w:line="257" w:lineRule="auto"/>
        <w:jc w:val="both"/>
        <w:rPr>
          <w:rFonts w:eastAsia="Times New Roman" w:cs="Times New Roman"/>
        </w:rPr>
      </w:pPr>
    </w:p>
    <w:p w:rsidR="00A758A3" w:rsidRPr="00A758A3" w:rsidRDefault="00A758A3" w:rsidP="009120CB">
      <w:pPr>
        <w:spacing w:after="0" w:line="257" w:lineRule="auto"/>
        <w:jc w:val="both"/>
        <w:rPr>
          <w:rFonts w:eastAsia="Times New Roman" w:cs="Times New Roman"/>
        </w:rPr>
      </w:pPr>
      <w:r>
        <w:rPr>
          <w:b/>
        </w:rPr>
        <w:t>Gestión de riesgos</w:t>
      </w:r>
      <w:r>
        <w:t xml:space="preserve"> hace referencia a los </w:t>
      </w:r>
      <w:r>
        <w:rPr>
          <w:b/>
        </w:rPr>
        <w:t>intentos para eliminar o mitigar la probabilidad o el impacto de eventos perjudiciales o de peligros</w:t>
      </w:r>
      <w:r>
        <w:t>.</w:t>
      </w:r>
    </w:p>
    <w:p w:rsidR="00A758A3" w:rsidRDefault="00A758A3" w:rsidP="009120CB">
      <w:pPr>
        <w:spacing w:after="0" w:line="257" w:lineRule="auto"/>
        <w:jc w:val="both"/>
        <w:rPr>
          <w:rFonts w:eastAsia="Times New Roman" w:cs="Times New Roman"/>
        </w:rPr>
      </w:pPr>
    </w:p>
    <w:p w:rsidR="00A758A3" w:rsidRDefault="00A758A3" w:rsidP="009120CB">
      <w:pPr>
        <w:spacing w:after="0" w:line="257" w:lineRule="auto"/>
        <w:jc w:val="both"/>
        <w:rPr>
          <w:rFonts w:eastAsia="Times New Roman" w:cs="Times New Roman"/>
        </w:rPr>
      </w:pPr>
      <w:r>
        <w:t>Las medidas que hacen posible gestionar el riesgo pueden incluir una de cuatro estrategias principales o su combinación:</w:t>
      </w:r>
    </w:p>
    <w:p w:rsidR="00A758A3" w:rsidRDefault="00A758A3" w:rsidP="009120CB">
      <w:pPr>
        <w:pStyle w:val="Prrafodelista"/>
        <w:numPr>
          <w:ilvl w:val="0"/>
          <w:numId w:val="13"/>
        </w:numPr>
        <w:spacing w:after="0" w:line="257" w:lineRule="auto"/>
        <w:jc w:val="both"/>
        <w:rPr>
          <w:rFonts w:eastAsia="Times New Roman" w:cs="Times New Roman"/>
        </w:rPr>
      </w:pPr>
      <w:r>
        <w:t>Evitación: detener las actividades que dan lugar al riesgo.</w:t>
      </w:r>
    </w:p>
    <w:p w:rsidR="00A758A3" w:rsidRPr="00A758A3" w:rsidRDefault="00A758A3" w:rsidP="009120CB">
      <w:pPr>
        <w:pStyle w:val="Prrafodelista"/>
        <w:numPr>
          <w:ilvl w:val="0"/>
          <w:numId w:val="13"/>
        </w:numPr>
        <w:spacing w:after="0" w:line="257" w:lineRule="auto"/>
        <w:jc w:val="both"/>
        <w:rPr>
          <w:rFonts w:eastAsia="Times New Roman" w:cs="Times New Roman"/>
        </w:rPr>
      </w:pPr>
      <w:r>
        <w:t>Reducción: tomar medidas para reducir la probabilidad o el impacto de un riesgo.</w:t>
      </w:r>
    </w:p>
    <w:p w:rsidR="00A758A3" w:rsidRPr="00A758A3" w:rsidRDefault="00A758A3" w:rsidP="009120CB">
      <w:pPr>
        <w:pStyle w:val="Prrafodelista"/>
        <w:numPr>
          <w:ilvl w:val="0"/>
          <w:numId w:val="13"/>
        </w:numPr>
        <w:spacing w:after="0" w:line="257" w:lineRule="auto"/>
        <w:jc w:val="both"/>
        <w:rPr>
          <w:rFonts w:eastAsia="Times New Roman" w:cs="Times New Roman"/>
        </w:rPr>
      </w:pPr>
      <w:r>
        <w:t>Distribución o aseguramiento: reducir el riesgo repartiéndolo o transfiriendo una de sus partes.</w:t>
      </w:r>
    </w:p>
    <w:p w:rsidR="00A00CA2" w:rsidRDefault="00A758A3" w:rsidP="009120CB">
      <w:pPr>
        <w:pStyle w:val="Prrafodelista"/>
        <w:numPr>
          <w:ilvl w:val="0"/>
          <w:numId w:val="13"/>
        </w:numPr>
        <w:spacing w:after="0" w:line="257" w:lineRule="auto"/>
        <w:jc w:val="both"/>
        <w:rPr>
          <w:rFonts w:eastAsia="Times New Roman" w:cs="Times New Roman"/>
        </w:rPr>
      </w:pPr>
      <w:r>
        <w:lastRenderedPageBreak/>
        <w:t xml:space="preserve">Aceptación: aceptar el riesgo basándose en los análisis de </w:t>
      </w:r>
      <w:r w:rsidR="002A097A">
        <w:t>costes-beneficios</w:t>
      </w:r>
      <w:r>
        <w:t xml:space="preserve"> y de rentabilidad.</w:t>
      </w:r>
    </w:p>
    <w:p w:rsidR="00A876DB" w:rsidRDefault="00A876DB" w:rsidP="009120CB">
      <w:pPr>
        <w:spacing w:after="0" w:line="257" w:lineRule="auto"/>
        <w:jc w:val="both"/>
        <w:rPr>
          <w:rFonts w:eastAsia="Times New Roman" w:cs="Times New Roman"/>
        </w:rPr>
      </w:pPr>
    </w:p>
    <w:p w:rsidR="00F5671E" w:rsidRPr="00F5671E" w:rsidRDefault="00F5671E" w:rsidP="009120CB">
      <w:pPr>
        <w:spacing w:after="0" w:line="257" w:lineRule="auto"/>
        <w:jc w:val="both"/>
        <w:rPr>
          <w:rFonts w:eastAsia="Times New Roman" w:cs="Times New Roman"/>
          <w:b/>
          <w:color w:val="C00000"/>
        </w:rPr>
      </w:pPr>
      <w:r>
        <w:rPr>
          <w:b/>
          <w:color w:val="C00000"/>
        </w:rPr>
        <w:t>Riesgo y acción humanitaria</w:t>
      </w:r>
    </w:p>
    <w:p w:rsidR="00F5671E" w:rsidRPr="00F5671E" w:rsidRDefault="00F5671E" w:rsidP="009120CB">
      <w:pPr>
        <w:spacing w:after="0" w:line="257" w:lineRule="auto"/>
        <w:jc w:val="both"/>
        <w:rPr>
          <w:rFonts w:eastAsia="Times New Roman" w:cs="Times New Roman"/>
          <w:b/>
        </w:rPr>
      </w:pPr>
      <w:r>
        <w:rPr>
          <w:b/>
        </w:rPr>
        <w:t>¿Cuáles son los riesgos?</w:t>
      </w:r>
    </w:p>
    <w:p w:rsidR="00F5671E" w:rsidRDefault="00F5671E" w:rsidP="009120CB">
      <w:pPr>
        <w:spacing w:after="0" w:line="257" w:lineRule="auto"/>
        <w:jc w:val="both"/>
        <w:rPr>
          <w:rFonts w:eastAsia="Times New Roman" w:cs="Times New Roman"/>
          <w:b/>
        </w:rPr>
      </w:pPr>
      <w:r>
        <w:t xml:space="preserve">Los riesgos predominantes en la acción humanitaria son muchos, diversos y, a menudo, relacionados entre sí. Muchos actores humanitarios tienden a destacar los riesgos para la seguridad del personal y de los beneficiarios. Sin embargo, aunque estos riesgos ciertamente son cruciales, hay muchos otros que suponen una seria amenaza para la programación humanitaria. Estos riesgos se </w:t>
      </w:r>
      <w:r>
        <w:rPr>
          <w:b/>
        </w:rPr>
        <w:t>agrupan en tres categorías</w:t>
      </w:r>
      <w:r>
        <w:t xml:space="preserve">: </w:t>
      </w:r>
      <w:r>
        <w:rPr>
          <w:b/>
        </w:rPr>
        <w:t>contextuales</w:t>
      </w:r>
      <w:r>
        <w:t xml:space="preserve">, </w:t>
      </w:r>
      <w:r>
        <w:rPr>
          <w:b/>
        </w:rPr>
        <w:t>programáticos</w:t>
      </w:r>
      <w:r>
        <w:t xml:space="preserve"> e </w:t>
      </w:r>
      <w:r>
        <w:rPr>
          <w:b/>
        </w:rPr>
        <w:t>institucionales</w:t>
      </w:r>
      <w:r>
        <w:t>.</w:t>
      </w:r>
    </w:p>
    <w:p w:rsidR="00BB43A1" w:rsidRDefault="00BB43A1" w:rsidP="009120CB">
      <w:pPr>
        <w:spacing w:after="0" w:line="257" w:lineRule="auto"/>
        <w:jc w:val="both"/>
        <w:rPr>
          <w:rFonts w:eastAsia="Times New Roman" w:cs="Times New Roman"/>
          <w:b/>
        </w:rPr>
      </w:pPr>
    </w:p>
    <w:p w:rsidR="00BB43A1" w:rsidRDefault="00E06A3B" w:rsidP="009120CB">
      <w:pPr>
        <w:spacing w:after="0" w:line="257" w:lineRule="auto"/>
        <w:jc w:val="both"/>
        <w:rPr>
          <w:rFonts w:eastAsia="Times New Roman" w:cs="Times New Roman"/>
          <w:b/>
        </w:rPr>
      </w:pPr>
      <w:r w:rsidRPr="00E06A3B">
        <w:rPr>
          <w:rFonts w:eastAsia="Times New Roman" w:cs="Times New Roman"/>
          <w:noProof/>
        </w:rPr>
      </w:r>
      <w:r w:rsidRPr="00E06A3B">
        <w:rPr>
          <w:rFonts w:eastAsia="Times New Roman" w:cs="Times New Roman"/>
          <w:noProof/>
        </w:rPr>
        <w:pict>
          <v:group id="Grupo 8" o:spid="_x0000_s1026" style="width:439.1pt;height:166.1pt;mso-position-horizontal-relative:char;mso-position-vertical-relative:line" coordsize="54665,21096">
            <v:oval id="Elipse 5" o:spid="_x0000_s1027" style="position:absolute;top:72;width:34920;height:210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k5sQA&#10;AADaAAAADwAAAGRycy9kb3ducmV2LnhtbESPQWvCQBSE7wX/w/IEb3VjpSrRVcQibS+Cxou3R/aZ&#10;RLNvk92tSf99t1DocZiZb5jVpje1eJDzlWUFk3ECgji3uuJCwTnbPy9A+ICssbZMCr7Jw2Y9eFph&#10;qm3HR3qcQiEihH2KCsoQmlRKn5dk0I9tQxy9q3UGQ5SukNphF+Gmli9JMpMGK44LJTa0Kym/n76M&#10;gkXy3s2nh8ux/Wxdi9dblp2nb0qNhv12CSJQH/7Df+0PreAVfq/EG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I5ObEAAAA2gAAAA8AAAAAAAAAAAAAAAAAmAIAAGRycy9k&#10;b3ducmV2LnhtbFBLBQYAAAAABAAEAPUAAACJAwAAAAA=&#10;" fillcolor="#c6f" strokecolor="#c6f" strokeweight="1pt">
              <v:fill opacity="43947f"/>
              <v:stroke joinstyle="miter"/>
              <v:textbox style="mso-next-textbox:#Elipse 5">
                <w:txbxContent>
                  <w:p w:rsidR="00BB43A1" w:rsidRPr="00BB43A1" w:rsidRDefault="00BB43A1" w:rsidP="008551EB">
                    <w:pPr>
                      <w:spacing w:after="0"/>
                      <w:ind w:left="-142"/>
                      <w:rPr>
                        <w:b/>
                        <w:sz w:val="20"/>
                        <w:szCs w:val="18"/>
                        <w:u w:val="single"/>
                      </w:rPr>
                    </w:pPr>
                    <w:r>
                      <w:rPr>
                        <w:b/>
                        <w:sz w:val="20"/>
                        <w:u w:val="single"/>
                      </w:rPr>
                      <w:t>Riesgo contextual</w:t>
                    </w:r>
                  </w:p>
                  <w:p w:rsidR="008551EB" w:rsidRPr="00BB43A1" w:rsidRDefault="00BB43A1" w:rsidP="008551EB">
                    <w:pPr>
                      <w:spacing w:after="0"/>
                      <w:ind w:left="-142"/>
                      <w:rPr>
                        <w:b/>
                        <w:sz w:val="20"/>
                        <w:szCs w:val="18"/>
                      </w:rPr>
                    </w:pPr>
                    <w:r>
                      <w:rPr>
                        <w:b/>
                        <w:sz w:val="20"/>
                      </w:rPr>
                      <w:t>Riesgo de fracaso</w:t>
                    </w:r>
                    <w:r w:rsidR="008551EB" w:rsidRPr="008551EB">
                      <w:rPr>
                        <w:b/>
                        <w:sz w:val="20"/>
                      </w:rPr>
                      <w:t xml:space="preserve"> </w:t>
                    </w:r>
                    <w:r w:rsidR="008551EB">
                      <w:rPr>
                        <w:b/>
                        <w:sz w:val="20"/>
                      </w:rPr>
                      <w:t>del</w:t>
                    </w:r>
                    <w:r w:rsidR="008551EB" w:rsidRPr="008551EB">
                      <w:rPr>
                        <w:b/>
                        <w:sz w:val="20"/>
                      </w:rPr>
                      <w:t xml:space="preserve"> </w:t>
                    </w:r>
                    <w:r w:rsidR="008551EB">
                      <w:rPr>
                        <w:b/>
                        <w:sz w:val="20"/>
                      </w:rPr>
                      <w:t xml:space="preserve">estado, </w:t>
                    </w:r>
                  </w:p>
                  <w:p w:rsidR="008551EB" w:rsidRDefault="008551EB" w:rsidP="008551EB">
                    <w:pPr>
                      <w:spacing w:after="0"/>
                      <w:ind w:left="-142"/>
                      <w:rPr>
                        <w:b/>
                        <w:sz w:val="20"/>
                      </w:rPr>
                    </w:pPr>
                    <w:proofErr w:type="gramStart"/>
                    <w:r>
                      <w:rPr>
                        <w:b/>
                        <w:sz w:val="20"/>
                      </w:rPr>
                      <w:t>recurrencia</w:t>
                    </w:r>
                    <w:proofErr w:type="gramEnd"/>
                    <w:r w:rsidRPr="008551EB">
                      <w:rPr>
                        <w:b/>
                        <w:sz w:val="20"/>
                      </w:rPr>
                      <w:t xml:space="preserve"> </w:t>
                    </w:r>
                    <w:r>
                      <w:rPr>
                        <w:b/>
                        <w:sz w:val="20"/>
                      </w:rPr>
                      <w:t xml:space="preserve">del </w:t>
                    </w:r>
                    <w:r w:rsidR="00BB43A1">
                      <w:rPr>
                        <w:b/>
                        <w:sz w:val="20"/>
                      </w:rPr>
                      <w:t xml:space="preserve">conflicto, </w:t>
                    </w:r>
                  </w:p>
                  <w:p w:rsidR="008551EB" w:rsidRDefault="008551EB" w:rsidP="008551EB">
                    <w:pPr>
                      <w:spacing w:after="0"/>
                      <w:ind w:left="-142"/>
                      <w:rPr>
                        <w:b/>
                        <w:sz w:val="20"/>
                      </w:rPr>
                    </w:pPr>
                    <w:proofErr w:type="gramStart"/>
                    <w:r>
                      <w:rPr>
                        <w:b/>
                        <w:sz w:val="20"/>
                      </w:rPr>
                      <w:t>colapso</w:t>
                    </w:r>
                    <w:proofErr w:type="gramEnd"/>
                    <w:r w:rsidRPr="008551EB">
                      <w:rPr>
                        <w:b/>
                        <w:sz w:val="20"/>
                      </w:rPr>
                      <w:t xml:space="preserve"> </w:t>
                    </w:r>
                    <w:r>
                      <w:rPr>
                        <w:b/>
                        <w:sz w:val="20"/>
                      </w:rPr>
                      <w:t xml:space="preserve">del </w:t>
                    </w:r>
                    <w:r w:rsidR="00BB43A1">
                      <w:rPr>
                        <w:b/>
                        <w:sz w:val="20"/>
                      </w:rPr>
                      <w:t>desarrollo</w:t>
                    </w:r>
                    <w:r>
                      <w:rPr>
                        <w:b/>
                        <w:sz w:val="20"/>
                      </w:rPr>
                      <w:t xml:space="preserve"> </w:t>
                    </w:r>
                  </w:p>
                  <w:p w:rsidR="00BB43A1" w:rsidRPr="00BB43A1" w:rsidRDefault="00BB43A1" w:rsidP="008551EB">
                    <w:pPr>
                      <w:spacing w:after="0"/>
                      <w:ind w:left="-142"/>
                      <w:rPr>
                        <w:b/>
                        <w:sz w:val="20"/>
                        <w:szCs w:val="18"/>
                      </w:rPr>
                    </w:pPr>
                    <w:proofErr w:type="gramStart"/>
                    <w:r>
                      <w:rPr>
                        <w:b/>
                        <w:sz w:val="20"/>
                      </w:rPr>
                      <w:t>y</w:t>
                    </w:r>
                    <w:proofErr w:type="gramEnd"/>
                    <w:r>
                      <w:rPr>
                        <w:b/>
                        <w:sz w:val="20"/>
                      </w:rPr>
                      <w:t xml:space="preserve"> crisis</w:t>
                    </w:r>
                    <w:r w:rsidR="008551EB">
                      <w:rPr>
                        <w:b/>
                        <w:sz w:val="20"/>
                      </w:rPr>
                      <w:t xml:space="preserve"> </w:t>
                    </w:r>
                    <w:r>
                      <w:rPr>
                        <w:b/>
                        <w:sz w:val="20"/>
                      </w:rPr>
                      <w:t xml:space="preserve">humanitaria. </w:t>
                    </w:r>
                  </w:p>
                  <w:p w:rsidR="00BB43A1" w:rsidRDefault="00BB43A1" w:rsidP="008551EB">
                    <w:pPr>
                      <w:spacing w:after="0"/>
                      <w:ind w:left="-142"/>
                      <w:rPr>
                        <w:b/>
                        <w:sz w:val="20"/>
                        <w:szCs w:val="18"/>
                      </w:rPr>
                    </w:pPr>
                    <w:r>
                      <w:rPr>
                        <w:b/>
                        <w:sz w:val="20"/>
                      </w:rPr>
                      <w:t xml:space="preserve">Factores que </w:t>
                    </w:r>
                  </w:p>
                  <w:p w:rsidR="00BB43A1" w:rsidRPr="00BB43A1" w:rsidRDefault="00BB43A1" w:rsidP="008551EB">
                    <w:pPr>
                      <w:spacing w:after="0"/>
                      <w:ind w:left="-142"/>
                      <w:rPr>
                        <w:b/>
                        <w:sz w:val="20"/>
                        <w:szCs w:val="18"/>
                      </w:rPr>
                    </w:pPr>
                    <w:proofErr w:type="gramStart"/>
                    <w:r>
                      <w:rPr>
                        <w:b/>
                        <w:sz w:val="20"/>
                      </w:rPr>
                      <w:t>los</w:t>
                    </w:r>
                    <w:proofErr w:type="gramEnd"/>
                    <w:r>
                      <w:rPr>
                        <w:b/>
                        <w:sz w:val="20"/>
                      </w:rPr>
                      <w:t xml:space="preserve"> actores humanitarios</w:t>
                    </w:r>
                  </w:p>
                  <w:p w:rsidR="00BB43A1" w:rsidRPr="00BB43A1" w:rsidRDefault="00BB43A1" w:rsidP="008551EB">
                    <w:pPr>
                      <w:spacing w:after="0"/>
                      <w:ind w:left="-142"/>
                      <w:rPr>
                        <w:b/>
                        <w:sz w:val="20"/>
                        <w:szCs w:val="18"/>
                      </w:rPr>
                    </w:pPr>
                    <w:proofErr w:type="gramStart"/>
                    <w:r>
                      <w:rPr>
                        <w:b/>
                        <w:sz w:val="20"/>
                      </w:rPr>
                      <w:t>no</w:t>
                    </w:r>
                    <w:proofErr w:type="gramEnd"/>
                    <w:r>
                      <w:rPr>
                        <w:b/>
                        <w:sz w:val="20"/>
                      </w:rPr>
                      <w:t xml:space="preserve"> pueden controlar.</w:t>
                    </w:r>
                  </w:p>
                </w:txbxContent>
              </v:textbox>
            </v:oval>
            <v:oval id="Elipse 6" o:spid="_x0000_s1028" style="position:absolute;left:19726;width:34939;height:21090;visibility:visible;v-text-anchor:middle" fillcolor="#323e4f [2415]" strokecolor="#ffe699" strokeweight="1pt">
              <v:fill opacity="32896f"/>
              <v:stroke joinstyle="miter"/>
              <v:textbox style="mso-next-textbox:#Elipse 6">
                <w:txbxContent>
                  <w:p w:rsidR="00BB43A1" w:rsidRPr="00BB43A1" w:rsidRDefault="00BB43A1" w:rsidP="008551EB">
                    <w:pPr>
                      <w:tabs>
                        <w:tab w:val="left" w:pos="3402"/>
                      </w:tabs>
                      <w:spacing w:after="0"/>
                      <w:jc w:val="right"/>
                      <w:rPr>
                        <w:sz w:val="20"/>
                        <w:szCs w:val="18"/>
                        <w:u w:val="single"/>
                      </w:rPr>
                    </w:pPr>
                    <w:r>
                      <w:rPr>
                        <w:sz w:val="20"/>
                        <w:u w:val="single"/>
                      </w:rPr>
                      <w:t>Riesgo institucional</w:t>
                    </w:r>
                  </w:p>
                  <w:p w:rsidR="00BB43A1" w:rsidRPr="00BB43A1" w:rsidRDefault="00BB43A1" w:rsidP="00BB43A1">
                    <w:pPr>
                      <w:spacing w:after="0"/>
                      <w:jc w:val="right"/>
                      <w:rPr>
                        <w:sz w:val="20"/>
                        <w:szCs w:val="18"/>
                      </w:rPr>
                    </w:pPr>
                    <w:r>
                      <w:rPr>
                        <w:sz w:val="20"/>
                      </w:rPr>
                      <w:t>Riesgos para quienes</w:t>
                    </w:r>
                  </w:p>
                  <w:p w:rsidR="008551EB" w:rsidRDefault="00BB43A1" w:rsidP="00BB43A1">
                    <w:pPr>
                      <w:spacing w:after="0"/>
                      <w:jc w:val="right"/>
                      <w:rPr>
                        <w:sz w:val="20"/>
                      </w:rPr>
                    </w:pPr>
                    <w:proofErr w:type="gramStart"/>
                    <w:r>
                      <w:rPr>
                        <w:sz w:val="20"/>
                      </w:rPr>
                      <w:t>prestan</w:t>
                    </w:r>
                    <w:proofErr w:type="gramEnd"/>
                    <w:r>
                      <w:rPr>
                        <w:sz w:val="20"/>
                      </w:rPr>
                      <w:t xml:space="preserve"> asistencia </w:t>
                    </w:r>
                  </w:p>
                  <w:p w:rsidR="00BB43A1" w:rsidRPr="00BB43A1" w:rsidRDefault="00BB43A1" w:rsidP="00BB43A1">
                    <w:pPr>
                      <w:spacing w:after="0"/>
                      <w:jc w:val="right"/>
                      <w:rPr>
                        <w:sz w:val="20"/>
                        <w:szCs w:val="18"/>
                      </w:rPr>
                    </w:pPr>
                    <w:r>
                      <w:rPr>
                        <w:sz w:val="20"/>
                      </w:rPr>
                      <w:t>(</w:t>
                    </w:r>
                    <w:proofErr w:type="gramStart"/>
                    <w:r>
                      <w:rPr>
                        <w:sz w:val="20"/>
                      </w:rPr>
                      <w:t>seguridad</w:t>
                    </w:r>
                    <w:proofErr w:type="gramEnd"/>
                    <w:r>
                      <w:rPr>
                        <w:sz w:val="20"/>
                      </w:rPr>
                      <w:t>,</w:t>
                    </w:r>
                  </w:p>
                  <w:p w:rsidR="00BB43A1" w:rsidRPr="00BB43A1" w:rsidRDefault="00BB43A1" w:rsidP="00BB43A1">
                    <w:pPr>
                      <w:spacing w:after="0"/>
                      <w:jc w:val="right"/>
                      <w:rPr>
                        <w:sz w:val="20"/>
                        <w:szCs w:val="18"/>
                      </w:rPr>
                    </w:pPr>
                    <w:proofErr w:type="gramStart"/>
                    <w:r>
                      <w:rPr>
                        <w:sz w:val="20"/>
                      </w:rPr>
                      <w:t>pérdida</w:t>
                    </w:r>
                    <w:proofErr w:type="gramEnd"/>
                    <w:r>
                      <w:rPr>
                        <w:sz w:val="20"/>
                      </w:rPr>
                      <w:t xml:space="preserve"> de confianza,</w:t>
                    </w:r>
                  </w:p>
                  <w:p w:rsidR="00BB43A1" w:rsidRPr="00BB43A1" w:rsidRDefault="00BB43A1" w:rsidP="00BB43A1">
                    <w:pPr>
                      <w:spacing w:after="0"/>
                      <w:jc w:val="right"/>
                      <w:rPr>
                        <w:sz w:val="20"/>
                        <w:szCs w:val="18"/>
                      </w:rPr>
                    </w:pPr>
                    <w:proofErr w:type="gramStart"/>
                    <w:r>
                      <w:rPr>
                        <w:sz w:val="20"/>
                      </w:rPr>
                      <w:t>merma</w:t>
                    </w:r>
                    <w:proofErr w:type="gramEnd"/>
                    <w:r>
                      <w:rPr>
                        <w:sz w:val="20"/>
                      </w:rPr>
                      <w:t xml:space="preserve"> de la reputación,</w:t>
                    </w:r>
                  </w:p>
                  <w:p w:rsidR="00BB43A1" w:rsidRPr="00BB43A1" w:rsidRDefault="00BB43A1" w:rsidP="00BB43A1">
                    <w:pPr>
                      <w:spacing w:after="0"/>
                      <w:jc w:val="right"/>
                      <w:rPr>
                        <w:sz w:val="20"/>
                        <w:szCs w:val="18"/>
                      </w:rPr>
                    </w:pPr>
                    <w:proofErr w:type="gramStart"/>
                    <w:r>
                      <w:rPr>
                        <w:sz w:val="20"/>
                      </w:rPr>
                      <w:t>deterioro</w:t>
                    </w:r>
                    <w:proofErr w:type="gramEnd"/>
                    <w:r>
                      <w:rPr>
                        <w:sz w:val="20"/>
                      </w:rPr>
                      <w:t xml:space="preserve"> político</w:t>
                    </w:r>
                  </w:p>
                  <w:p w:rsidR="00BB43A1" w:rsidRPr="00BB43A1" w:rsidRDefault="00BB43A1" w:rsidP="00BB43A1">
                    <w:pPr>
                      <w:spacing w:after="0"/>
                      <w:jc w:val="right"/>
                      <w:rPr>
                        <w:sz w:val="20"/>
                        <w:szCs w:val="18"/>
                      </w:rPr>
                    </w:pPr>
                    <w:proofErr w:type="gramStart"/>
                    <w:r>
                      <w:rPr>
                        <w:sz w:val="20"/>
                      </w:rPr>
                      <w:t>interno</w:t>
                    </w:r>
                    <w:proofErr w:type="gramEnd"/>
                    <w:r>
                      <w:rPr>
                        <w:sz w:val="20"/>
                      </w:rPr>
                      <w:t>, etc.)</w:t>
                    </w:r>
                  </w:p>
                </w:txbxContent>
              </v:textbox>
            </v:oval>
            <v:shapetype id="_x0000_t202" coordsize="21600,21600" o:spt="202" path="m,l,21600r21600,l21600,xe">
              <v:stroke joinstyle="miter"/>
              <v:path gradientshapeok="t" o:connecttype="rect"/>
            </v:shapetype>
            <v:shape id="Cuadro de texto 7" o:spid="_x0000_s1029" type="#_x0000_t202" style="position:absolute;left:20305;top:4896;width:13464;height:12244;visibility:visible" filled="f" stroked="f" strokeweight=".5pt">
              <v:textbox style="mso-next-textbox:#Cuadro de texto 7">
                <w:txbxContent>
                  <w:p w:rsidR="00BB43A1" w:rsidRPr="00CC16B7" w:rsidRDefault="00B24499" w:rsidP="00BB43A1">
                    <w:pPr>
                      <w:spacing w:after="0"/>
                      <w:jc w:val="center"/>
                      <w:rPr>
                        <w:b/>
                        <w:color w:val="FFFFFF" w:themeColor="background1"/>
                        <w:sz w:val="20"/>
                        <w:szCs w:val="20"/>
                        <w:u w:val="single"/>
                      </w:rPr>
                    </w:pPr>
                    <w:r w:rsidRPr="00B24499">
                      <w:rPr>
                        <w:b/>
                        <w:color w:val="FFFFFF" w:themeColor="background1"/>
                        <w:sz w:val="20"/>
                      </w:rPr>
                      <w:t xml:space="preserve"> </w:t>
                    </w:r>
                    <w:r w:rsidR="00BB43A1">
                      <w:rPr>
                        <w:b/>
                        <w:color w:val="FFFFFF" w:themeColor="background1"/>
                        <w:sz w:val="20"/>
                        <w:u w:val="single"/>
                      </w:rPr>
                      <w:t>Riesgo programático</w:t>
                    </w:r>
                  </w:p>
                  <w:p w:rsidR="00BB43A1" w:rsidRPr="00CC16B7" w:rsidRDefault="00BB43A1" w:rsidP="00BB43A1">
                    <w:pPr>
                      <w:spacing w:after="0"/>
                      <w:jc w:val="center"/>
                      <w:rPr>
                        <w:color w:val="FFFFFF" w:themeColor="background1"/>
                        <w:sz w:val="20"/>
                        <w:szCs w:val="20"/>
                      </w:rPr>
                    </w:pPr>
                    <w:r>
                      <w:rPr>
                        <w:color w:val="FFFFFF" w:themeColor="background1"/>
                        <w:sz w:val="20"/>
                      </w:rPr>
                      <w:t>Riesgo de no</w:t>
                    </w:r>
                    <w:r w:rsidR="00A279D0">
                      <w:rPr>
                        <w:color w:val="FFFFFF" w:themeColor="background1"/>
                        <w:sz w:val="20"/>
                      </w:rPr>
                      <w:t xml:space="preserve"> </w:t>
                    </w:r>
                    <w:r>
                      <w:rPr>
                        <w:color w:val="FFFFFF" w:themeColor="background1"/>
                        <w:sz w:val="20"/>
                      </w:rPr>
                      <w:t>alcanzar</w:t>
                    </w:r>
                  </w:p>
                  <w:p w:rsidR="00A279D0" w:rsidRDefault="00BB43A1" w:rsidP="00BB43A1">
                    <w:pPr>
                      <w:spacing w:after="0"/>
                      <w:jc w:val="center"/>
                      <w:rPr>
                        <w:color w:val="FFFFFF" w:themeColor="background1"/>
                        <w:sz w:val="20"/>
                      </w:rPr>
                    </w:pPr>
                    <w:proofErr w:type="gramStart"/>
                    <w:r>
                      <w:rPr>
                        <w:color w:val="FFFFFF" w:themeColor="background1"/>
                        <w:sz w:val="20"/>
                      </w:rPr>
                      <w:t>los</w:t>
                    </w:r>
                    <w:proofErr w:type="gramEnd"/>
                    <w:r>
                      <w:rPr>
                        <w:color w:val="FFFFFF" w:themeColor="background1"/>
                        <w:sz w:val="20"/>
                      </w:rPr>
                      <w:t xml:space="preserve"> objetivos y metas</w:t>
                    </w:r>
                  </w:p>
                  <w:p w:rsidR="00BB43A1" w:rsidRPr="00CC16B7" w:rsidRDefault="00BB43A1" w:rsidP="00BB43A1">
                    <w:pPr>
                      <w:spacing w:after="0"/>
                      <w:jc w:val="center"/>
                      <w:rPr>
                        <w:color w:val="FFFFFF" w:themeColor="background1"/>
                        <w:sz w:val="20"/>
                        <w:szCs w:val="20"/>
                      </w:rPr>
                    </w:pPr>
                    <w:proofErr w:type="gramStart"/>
                    <w:r>
                      <w:rPr>
                        <w:color w:val="FFFFFF" w:themeColor="background1"/>
                        <w:sz w:val="20"/>
                      </w:rPr>
                      <w:t>del</w:t>
                    </w:r>
                    <w:proofErr w:type="gramEnd"/>
                    <w:r>
                      <w:rPr>
                        <w:color w:val="FFFFFF" w:themeColor="background1"/>
                        <w:sz w:val="20"/>
                      </w:rPr>
                      <w:t xml:space="preserve"> programa.</w:t>
                    </w:r>
                  </w:p>
                  <w:p w:rsidR="00BB43A1" w:rsidRPr="00CC16B7" w:rsidRDefault="00BB43A1" w:rsidP="00BB43A1">
                    <w:pPr>
                      <w:spacing w:after="0"/>
                      <w:jc w:val="center"/>
                      <w:rPr>
                        <w:color w:val="FFFFFF" w:themeColor="background1"/>
                        <w:sz w:val="20"/>
                        <w:szCs w:val="20"/>
                      </w:rPr>
                    </w:pPr>
                    <w:r>
                      <w:rPr>
                        <w:color w:val="FFFFFF" w:themeColor="background1"/>
                        <w:sz w:val="20"/>
                      </w:rPr>
                      <w:t>Riesgo de causar daño</w:t>
                    </w:r>
                  </w:p>
                  <w:p w:rsidR="00BB43A1" w:rsidRPr="00CC16B7" w:rsidRDefault="00BB43A1" w:rsidP="00BB43A1">
                    <w:pPr>
                      <w:spacing w:after="0"/>
                      <w:jc w:val="center"/>
                      <w:rPr>
                        <w:color w:val="FFFFFF" w:themeColor="background1"/>
                        <w:sz w:val="20"/>
                        <w:szCs w:val="20"/>
                      </w:rPr>
                    </w:pPr>
                    <w:proofErr w:type="gramStart"/>
                    <w:r>
                      <w:rPr>
                        <w:color w:val="FFFFFF" w:themeColor="background1"/>
                        <w:sz w:val="20"/>
                      </w:rPr>
                      <w:t>mediante</w:t>
                    </w:r>
                    <w:proofErr w:type="gramEnd"/>
                    <w:r>
                      <w:rPr>
                        <w:color w:val="FFFFFF" w:themeColor="background1"/>
                        <w:sz w:val="20"/>
                      </w:rPr>
                      <w:t xml:space="preserve"> la intervención.</w:t>
                    </w:r>
                  </w:p>
                </w:txbxContent>
              </v:textbox>
            </v:shape>
            <w10:wrap type="none"/>
            <w10:anchorlock/>
          </v:group>
        </w:pict>
      </w:r>
    </w:p>
    <w:p w:rsidR="00BB43A1" w:rsidRPr="00A00CA2" w:rsidRDefault="00BB43A1" w:rsidP="009120CB">
      <w:pPr>
        <w:spacing w:after="0" w:line="257" w:lineRule="auto"/>
        <w:jc w:val="both"/>
        <w:rPr>
          <w:rFonts w:eastAsia="Times New Roman" w:cs="Times New Roman"/>
        </w:rPr>
      </w:pPr>
    </w:p>
    <w:p w:rsidR="006E3B76" w:rsidRDefault="006E3B76" w:rsidP="009120CB">
      <w:pPr>
        <w:keepNext/>
        <w:spacing w:after="0" w:line="257" w:lineRule="auto"/>
        <w:jc w:val="both"/>
        <w:rPr>
          <w:rFonts w:eastAsia="Times New Roman" w:cs="Times New Roman"/>
          <w:b/>
          <w:color w:val="C00000"/>
        </w:rPr>
      </w:pPr>
    </w:p>
    <w:p w:rsidR="00BB43A1" w:rsidRDefault="00BB43A1" w:rsidP="009120CB">
      <w:pPr>
        <w:keepNext/>
        <w:spacing w:after="0" w:line="257" w:lineRule="auto"/>
        <w:jc w:val="both"/>
        <w:rPr>
          <w:rFonts w:eastAsia="Times New Roman" w:cs="Times New Roman"/>
        </w:rPr>
      </w:pPr>
      <w:r>
        <w:t xml:space="preserve">Los </w:t>
      </w:r>
      <w:r>
        <w:rPr>
          <w:b/>
          <w:color w:val="C00000"/>
        </w:rPr>
        <w:t>riesgos contextuales</w:t>
      </w:r>
      <w:r>
        <w:t xml:space="preserve"> son inherentes a todo contexto. Pueden incluir:</w:t>
      </w:r>
    </w:p>
    <w:p w:rsidR="00BB43A1" w:rsidRDefault="001B727E" w:rsidP="009120CB">
      <w:pPr>
        <w:pStyle w:val="Prrafodelista"/>
        <w:keepNext/>
        <w:numPr>
          <w:ilvl w:val="0"/>
          <w:numId w:val="17"/>
        </w:numPr>
        <w:spacing w:after="0" w:line="257" w:lineRule="auto"/>
        <w:jc w:val="both"/>
        <w:rPr>
          <w:rFonts w:eastAsia="Times New Roman" w:cs="Times New Roman"/>
        </w:rPr>
      </w:pPr>
      <w:r>
        <w:t xml:space="preserve">Factores de </w:t>
      </w:r>
      <w:proofErr w:type="gramStart"/>
      <w:r>
        <w:t>riesgo políticos y sociales</w:t>
      </w:r>
      <w:proofErr w:type="gramEnd"/>
      <w:r>
        <w:t xml:space="preserve">, como la intensificación de un conflicto. </w:t>
      </w:r>
    </w:p>
    <w:p w:rsidR="00BB43A1" w:rsidRDefault="001B727E" w:rsidP="009120CB">
      <w:pPr>
        <w:pStyle w:val="Prrafodelista"/>
        <w:keepNext/>
        <w:numPr>
          <w:ilvl w:val="0"/>
          <w:numId w:val="17"/>
        </w:numPr>
        <w:spacing w:after="0" w:line="257" w:lineRule="auto"/>
        <w:jc w:val="both"/>
        <w:rPr>
          <w:rFonts w:eastAsia="Times New Roman" w:cs="Times New Roman"/>
        </w:rPr>
      </w:pPr>
      <w:r>
        <w:t xml:space="preserve">Inestabilidad política y colapso del estado de derecho. </w:t>
      </w:r>
    </w:p>
    <w:p w:rsidR="00BB43A1" w:rsidRDefault="001B727E" w:rsidP="009120CB">
      <w:pPr>
        <w:pStyle w:val="Prrafodelista"/>
        <w:numPr>
          <w:ilvl w:val="0"/>
          <w:numId w:val="17"/>
        </w:numPr>
        <w:spacing w:after="0" w:line="257" w:lineRule="auto"/>
        <w:jc w:val="both"/>
        <w:rPr>
          <w:rFonts w:eastAsia="Times New Roman" w:cs="Times New Roman"/>
        </w:rPr>
      </w:pPr>
      <w:r>
        <w:t xml:space="preserve">Factores económicos o relativos al desarrollo, como la inflación elevada. </w:t>
      </w:r>
    </w:p>
    <w:p w:rsidR="00BB43A1" w:rsidRDefault="001B727E" w:rsidP="009120CB">
      <w:pPr>
        <w:pStyle w:val="Prrafodelista"/>
        <w:numPr>
          <w:ilvl w:val="0"/>
          <w:numId w:val="17"/>
        </w:numPr>
        <w:spacing w:after="0" w:line="257" w:lineRule="auto"/>
        <w:jc w:val="both"/>
        <w:rPr>
          <w:rFonts w:eastAsia="Times New Roman" w:cs="Times New Roman"/>
        </w:rPr>
      </w:pPr>
      <w:r>
        <w:t xml:space="preserve">Quiebra de la infraestructura estatal de servicios y desplome de los mercados. </w:t>
      </w:r>
    </w:p>
    <w:p w:rsidR="00440A4F" w:rsidRDefault="001B727E" w:rsidP="009120CB">
      <w:pPr>
        <w:pStyle w:val="Prrafodelista"/>
        <w:numPr>
          <w:ilvl w:val="0"/>
          <w:numId w:val="17"/>
        </w:numPr>
        <w:spacing w:after="0" w:line="257" w:lineRule="auto"/>
        <w:jc w:val="both"/>
        <w:rPr>
          <w:rFonts w:eastAsia="Times New Roman" w:cs="Times New Roman"/>
        </w:rPr>
      </w:pPr>
      <w:r>
        <w:t>Cuestiones de seguridad más amplias, como el crimen organizado o transnacional.</w:t>
      </w:r>
    </w:p>
    <w:p w:rsidR="00BB43A1" w:rsidRDefault="00440A4F" w:rsidP="009120CB">
      <w:pPr>
        <w:pStyle w:val="Prrafodelista"/>
        <w:numPr>
          <w:ilvl w:val="0"/>
          <w:numId w:val="17"/>
        </w:numPr>
        <w:spacing w:after="0" w:line="257" w:lineRule="auto"/>
        <w:jc w:val="both"/>
        <w:rPr>
          <w:rFonts w:eastAsia="Times New Roman" w:cs="Times New Roman"/>
        </w:rPr>
      </w:pPr>
      <w:r>
        <w:t xml:space="preserve">Peligros naturales o ligados al clima. </w:t>
      </w:r>
    </w:p>
    <w:p w:rsidR="00F92A47" w:rsidRDefault="00BB43A1" w:rsidP="009120CB">
      <w:pPr>
        <w:spacing w:after="0" w:line="257" w:lineRule="auto"/>
        <w:jc w:val="both"/>
        <w:rPr>
          <w:rFonts w:eastAsia="Times New Roman" w:cs="Times New Roman"/>
        </w:rPr>
      </w:pPr>
      <w:r>
        <w:t>Muchos de estos riesgos contextuales, en cierta medida, quedan fuera del control de los actores humanitarios, aunque esto no significa que no puedan predecirse. El contexto y sus riesgos inherentes conforman y fundamentan el ciclo de gestión de riesgos en su totalidad.</w:t>
      </w:r>
    </w:p>
    <w:p w:rsidR="00363228" w:rsidRDefault="00363228" w:rsidP="009120CB">
      <w:pPr>
        <w:spacing w:after="0" w:line="257" w:lineRule="auto"/>
        <w:jc w:val="both"/>
        <w:rPr>
          <w:rFonts w:eastAsia="Times New Roman" w:cs="Times New Roman"/>
          <w:b/>
          <w:color w:val="C00000"/>
        </w:rPr>
      </w:pPr>
    </w:p>
    <w:p w:rsidR="00363228" w:rsidRDefault="00BB43A1" w:rsidP="009120CB">
      <w:pPr>
        <w:spacing w:after="0" w:line="257" w:lineRule="auto"/>
        <w:jc w:val="both"/>
        <w:rPr>
          <w:rFonts w:eastAsia="Times New Roman" w:cs="Times New Roman"/>
        </w:rPr>
      </w:pPr>
      <w:r>
        <w:t>Los</w:t>
      </w:r>
      <w:r>
        <w:rPr>
          <w:b/>
          <w:color w:val="C00000"/>
        </w:rPr>
        <w:t xml:space="preserve"> riesgos programáticos</w:t>
      </w:r>
      <w:r>
        <w:t xml:space="preserve"> se pueden agrupar en dos áreas principales:</w:t>
      </w:r>
    </w:p>
    <w:p w:rsidR="00363228" w:rsidRDefault="00363228" w:rsidP="009120CB">
      <w:pPr>
        <w:spacing w:after="0" w:line="257" w:lineRule="auto"/>
        <w:jc w:val="both"/>
        <w:rPr>
          <w:rFonts w:eastAsia="Times New Roman" w:cs="Times New Roman"/>
        </w:rPr>
      </w:pPr>
      <w:r>
        <w:t xml:space="preserve">El riesgo de no </w:t>
      </w:r>
      <w:r>
        <w:rPr>
          <w:b/>
        </w:rPr>
        <w:t>alcanzar los objetivos del programa</w:t>
      </w:r>
      <w:r>
        <w:t>. Dejando a un lado los factores contextuales externos, hay una serie de riesgos relativos a la ejecución del programa. Entre ellos, se encuentran:</w:t>
      </w:r>
    </w:p>
    <w:p w:rsidR="00363228" w:rsidRDefault="00363228" w:rsidP="009120CB">
      <w:pPr>
        <w:pStyle w:val="Prrafodelista"/>
        <w:numPr>
          <w:ilvl w:val="0"/>
          <w:numId w:val="17"/>
        </w:numPr>
        <w:spacing w:after="0" w:line="257" w:lineRule="auto"/>
        <w:jc w:val="both"/>
        <w:rPr>
          <w:rFonts w:eastAsia="Times New Roman" w:cs="Times New Roman"/>
        </w:rPr>
      </w:pPr>
      <w:r>
        <w:t>Fijar objetivos demasiado ambiciosos (</w:t>
      </w:r>
      <w:r>
        <w:rPr>
          <w:i/>
        </w:rPr>
        <w:t>fallos en la capacidad de ejecución</w:t>
      </w:r>
      <w:r>
        <w:t xml:space="preserve">). </w:t>
      </w:r>
    </w:p>
    <w:p w:rsidR="00363228" w:rsidRDefault="00363228" w:rsidP="009120CB">
      <w:pPr>
        <w:pStyle w:val="Prrafodelista"/>
        <w:numPr>
          <w:ilvl w:val="0"/>
          <w:numId w:val="17"/>
        </w:numPr>
        <w:spacing w:after="0" w:line="257" w:lineRule="auto"/>
        <w:jc w:val="both"/>
        <w:rPr>
          <w:rFonts w:eastAsia="Times New Roman" w:cs="Times New Roman"/>
        </w:rPr>
      </w:pPr>
      <w:r>
        <w:t>Utilizar planteamientos innovadores o no probados para el programa.</w:t>
      </w:r>
    </w:p>
    <w:p w:rsidR="00363228" w:rsidRDefault="00363228" w:rsidP="009120CB">
      <w:pPr>
        <w:pStyle w:val="Prrafodelista"/>
        <w:numPr>
          <w:ilvl w:val="0"/>
          <w:numId w:val="17"/>
        </w:numPr>
        <w:spacing w:after="0" w:line="257" w:lineRule="auto"/>
        <w:jc w:val="both"/>
        <w:rPr>
          <w:rFonts w:eastAsia="Times New Roman" w:cs="Times New Roman"/>
        </w:rPr>
      </w:pPr>
      <w:r>
        <w:t xml:space="preserve">Basar los programas en evaluaciones de necesidades defectuosas. </w:t>
      </w:r>
    </w:p>
    <w:p w:rsidR="00363228" w:rsidRPr="00363228" w:rsidRDefault="00BB43A1" w:rsidP="009120CB">
      <w:pPr>
        <w:spacing w:after="0" w:line="257" w:lineRule="auto"/>
        <w:jc w:val="both"/>
        <w:rPr>
          <w:rFonts w:eastAsia="Times New Roman" w:cs="Times New Roman"/>
        </w:rPr>
      </w:pPr>
      <w:r>
        <w:t xml:space="preserve">Existe asimismo el riesgo de que la programación no consiga una respuesta global o de que los programas se dupliquen. </w:t>
      </w:r>
    </w:p>
    <w:p w:rsidR="00363228" w:rsidRDefault="00363228" w:rsidP="009120CB">
      <w:pPr>
        <w:spacing w:after="0" w:line="257" w:lineRule="auto"/>
        <w:jc w:val="both"/>
        <w:rPr>
          <w:rFonts w:eastAsia="Times New Roman" w:cs="Times New Roman"/>
        </w:rPr>
      </w:pPr>
    </w:p>
    <w:p w:rsidR="002A097A" w:rsidRDefault="002A097A" w:rsidP="009120CB">
      <w:pPr>
        <w:spacing w:after="0" w:line="257" w:lineRule="auto"/>
        <w:jc w:val="both"/>
        <w:rPr>
          <w:rFonts w:eastAsia="Times New Roman" w:cs="Times New Roman"/>
        </w:rPr>
      </w:pPr>
    </w:p>
    <w:p w:rsidR="00363228" w:rsidRPr="00363228" w:rsidRDefault="00363228" w:rsidP="009120CB">
      <w:pPr>
        <w:spacing w:after="0" w:line="257" w:lineRule="auto"/>
        <w:jc w:val="both"/>
        <w:rPr>
          <w:rFonts w:eastAsia="Times New Roman" w:cs="Times New Roman"/>
        </w:rPr>
      </w:pPr>
      <w:r>
        <w:lastRenderedPageBreak/>
        <w:t>La posibilidad de</w:t>
      </w:r>
      <w:r>
        <w:rPr>
          <w:b/>
        </w:rPr>
        <w:t xml:space="preserve"> causar daño a otros</w:t>
      </w:r>
      <w:r>
        <w:t xml:space="preserve">. </w:t>
      </w:r>
    </w:p>
    <w:p w:rsidR="00363228" w:rsidRDefault="00BB43A1" w:rsidP="009120CB">
      <w:pPr>
        <w:spacing w:after="0" w:line="257" w:lineRule="auto"/>
        <w:jc w:val="both"/>
        <w:rPr>
          <w:rFonts w:eastAsia="Times New Roman" w:cs="Times New Roman"/>
        </w:rPr>
      </w:pPr>
      <w:r>
        <w:t xml:space="preserve">Esta segunda área cubre un conjunto de riesgos ligados al principio de </w:t>
      </w:r>
      <w:r>
        <w:rPr>
          <w:b/>
        </w:rPr>
        <w:t>No causar daño</w:t>
      </w:r>
      <w:r>
        <w:t>, que se define en sentido amplio como el intento de eliminar o minimizar los riesgos de que las intervenciones humanitarias inadvertidamente tengan un efecto negativo. Se incluyen:</w:t>
      </w:r>
    </w:p>
    <w:p w:rsidR="00363228" w:rsidRDefault="001B727E" w:rsidP="009120CB">
      <w:pPr>
        <w:pStyle w:val="Prrafodelista"/>
        <w:numPr>
          <w:ilvl w:val="0"/>
          <w:numId w:val="17"/>
        </w:numPr>
        <w:spacing w:after="0" w:line="257" w:lineRule="auto"/>
        <w:jc w:val="both"/>
        <w:rPr>
          <w:rFonts w:eastAsia="Times New Roman" w:cs="Times New Roman"/>
        </w:rPr>
      </w:pPr>
      <w:r>
        <w:t xml:space="preserve">Los riesgos </w:t>
      </w:r>
      <w:r w:rsidR="002A097A">
        <w:t>p</w:t>
      </w:r>
      <w:r>
        <w:t>a</w:t>
      </w:r>
      <w:r w:rsidR="002A097A">
        <w:t>ra</w:t>
      </w:r>
      <w:r>
        <w:t xml:space="preserve"> la integridad física de la población civil que puedan emanar de la presencia de los actores humanitarios o de programas concretos. </w:t>
      </w:r>
    </w:p>
    <w:p w:rsidR="001F0BD3" w:rsidRDefault="001F0BD3" w:rsidP="009120CB">
      <w:pPr>
        <w:pStyle w:val="Prrafodelista"/>
        <w:numPr>
          <w:ilvl w:val="0"/>
          <w:numId w:val="17"/>
        </w:numPr>
        <w:spacing w:after="0" w:line="257" w:lineRule="auto"/>
        <w:jc w:val="both"/>
        <w:rPr>
          <w:rFonts w:eastAsia="Times New Roman" w:cs="Times New Roman"/>
        </w:rPr>
      </w:pPr>
      <w:r>
        <w:t>Los riesgos para la seguridad de la población beneficiaria o del personal y los voluntarios.</w:t>
      </w:r>
    </w:p>
    <w:p w:rsidR="001F0BD3" w:rsidRDefault="001F0BD3" w:rsidP="009120CB">
      <w:pPr>
        <w:pStyle w:val="Prrafodelista"/>
        <w:numPr>
          <w:ilvl w:val="0"/>
          <w:numId w:val="17"/>
        </w:numPr>
        <w:spacing w:after="0" w:line="257" w:lineRule="auto"/>
        <w:jc w:val="both"/>
        <w:rPr>
          <w:rFonts w:eastAsia="Times New Roman" w:cs="Times New Roman"/>
        </w:rPr>
      </w:pPr>
      <w:r>
        <w:t>Provocar daños a los recursos naturales, la sobreexplotación o la exposición a riesgos.</w:t>
      </w:r>
    </w:p>
    <w:p w:rsidR="001F0BD3" w:rsidRPr="00A876DB" w:rsidRDefault="001F0BD3" w:rsidP="009120CB">
      <w:pPr>
        <w:pStyle w:val="Prrafodelista"/>
        <w:numPr>
          <w:ilvl w:val="0"/>
          <w:numId w:val="17"/>
        </w:numPr>
        <w:spacing w:after="0" w:line="257" w:lineRule="auto"/>
        <w:jc w:val="both"/>
        <w:rPr>
          <w:rFonts w:eastAsia="Times New Roman" w:cs="Times New Roman"/>
        </w:rPr>
      </w:pPr>
      <w:r>
        <w:t>Perjuicio directo o secundario a los mercados locales y a las estructuras económicas (inflación).</w:t>
      </w:r>
    </w:p>
    <w:p w:rsidR="001F0BD3" w:rsidRDefault="001F0BD3" w:rsidP="009120CB">
      <w:pPr>
        <w:pStyle w:val="Prrafodelista"/>
        <w:numPr>
          <w:ilvl w:val="0"/>
          <w:numId w:val="17"/>
        </w:numPr>
        <w:spacing w:after="0" w:line="257" w:lineRule="auto"/>
        <w:jc w:val="both"/>
        <w:rPr>
          <w:rFonts w:eastAsia="Times New Roman" w:cs="Times New Roman"/>
        </w:rPr>
      </w:pPr>
      <w:r>
        <w:t>Agravar la discriminación por razones étnicas, religiosas o de género (</w:t>
      </w:r>
      <w:r>
        <w:rPr>
          <w:i/>
        </w:rPr>
        <w:t>incrementando las tensiones en el hogar o en la comunidad</w:t>
      </w:r>
      <w:r>
        <w:t>) y crear dependencia de la ayuda externa</w:t>
      </w:r>
      <w:r w:rsidR="002A097A">
        <w:t xml:space="preserve">. </w:t>
      </w:r>
      <w:r w:rsidR="002A097A" w:rsidRPr="002A097A">
        <w:t>C</w:t>
      </w:r>
      <w:r w:rsidRPr="002A097A">
        <w:t>onflictos en el seno de la comunidad</w:t>
      </w:r>
      <w:r>
        <w:t>.</w:t>
      </w:r>
    </w:p>
    <w:p w:rsidR="00363228" w:rsidRDefault="001B727E" w:rsidP="009120CB">
      <w:pPr>
        <w:pStyle w:val="Prrafodelista"/>
        <w:numPr>
          <w:ilvl w:val="0"/>
          <w:numId w:val="17"/>
        </w:numPr>
        <w:spacing w:after="0" w:line="257" w:lineRule="auto"/>
        <w:jc w:val="both"/>
        <w:rPr>
          <w:rFonts w:eastAsia="Times New Roman" w:cs="Times New Roman"/>
        </w:rPr>
      </w:pPr>
      <w:r>
        <w:t xml:space="preserve">El riesgo de avivar una economía de guerra o de reemplazar las funciones del estado por la sustitución de éste en la prestación de servicios. </w:t>
      </w:r>
    </w:p>
    <w:p w:rsidR="00363228" w:rsidRDefault="00363228" w:rsidP="009120CB">
      <w:pPr>
        <w:spacing w:after="0" w:line="257" w:lineRule="auto"/>
        <w:jc w:val="both"/>
        <w:rPr>
          <w:rFonts w:eastAsia="Times New Roman" w:cs="Times New Roman"/>
        </w:rPr>
      </w:pPr>
    </w:p>
    <w:p w:rsidR="00BB43A1" w:rsidRDefault="00BB43A1" w:rsidP="009120CB">
      <w:pPr>
        <w:spacing w:after="0" w:line="257" w:lineRule="auto"/>
        <w:jc w:val="both"/>
        <w:rPr>
          <w:rFonts w:eastAsia="Times New Roman" w:cs="Times New Roman"/>
        </w:rPr>
      </w:pPr>
      <w:r>
        <w:t xml:space="preserve">Además, </w:t>
      </w:r>
      <w:r>
        <w:rPr>
          <w:b/>
        </w:rPr>
        <w:t>no vincular los objetivos humanitarios a objetivos de desarrollo a largo plazo</w:t>
      </w:r>
      <w:r>
        <w:t xml:space="preserve"> puede suponer riesgos para la sostenibilidad de la asistencia y para la capacidad y resiliencia de las comunidades beneficiarias. Sin embargo, algunos actores humanitarios consideran que la asociación con los programas de desarrollo comporta un riesgo para su independencia e imparcialidad, especialmente en contextos de conflicto o en los inmediatamente posteriores a un conflicto.</w:t>
      </w:r>
    </w:p>
    <w:p w:rsidR="00550304" w:rsidRDefault="00E06A3B" w:rsidP="009120CB">
      <w:pPr>
        <w:spacing w:after="0" w:line="257" w:lineRule="auto"/>
        <w:jc w:val="both"/>
        <w:rPr>
          <w:rFonts w:eastAsia="Times New Roman" w:cs="Times New Roman"/>
        </w:rPr>
      </w:pPr>
      <w:r>
        <w:rPr>
          <w:rFonts w:eastAsia="Times New Roman" w:cs="Times New Roman"/>
          <w:noProof/>
        </w:rPr>
        <w:pict>
          <v:roundrect id="Rectángulo redondeado 1" o:spid="_x0000_s1030" style="position:absolute;left:0;text-align:left;margin-left:0;margin-top:8pt;width:428.9pt;height:116.45pt;z-index:251659264;visibility:visible;mso-position-horizontal:left;mso-position-horizontal-relative:margin;mso-height-relative:margin;v-text-anchor:middle" arcsize="37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" fillcolor="#c00000" stroked="f" strokeweight="1pt">
            <v:stroke joinstyle="miter"/>
            <v:textbox>
              <w:txbxContent>
                <w:p w:rsidR="00550304" w:rsidRPr="006E3B76" w:rsidRDefault="00550304" w:rsidP="00550304">
                  <w:pPr>
                    <w:rPr>
                      <w:b/>
                      <w:i/>
                      <w:sz w:val="20"/>
                    </w:rPr>
                  </w:pPr>
                  <w:r>
                    <w:rPr>
                      <w:b/>
                      <w:i/>
                      <w:sz w:val="20"/>
                    </w:rPr>
                    <w:t>Principios de protección de Esfera:</w:t>
                  </w:r>
                </w:p>
                <w:p w:rsidR="00550304" w:rsidRPr="006E3B76" w:rsidRDefault="00550304" w:rsidP="00550304">
                  <w:pPr>
                    <w:pStyle w:val="Prrafodelista"/>
                    <w:numPr>
                      <w:ilvl w:val="0"/>
                      <w:numId w:val="19"/>
                    </w:numPr>
                    <w:rPr>
                      <w:i/>
                      <w:sz w:val="20"/>
                    </w:rPr>
                  </w:pPr>
                  <w:r>
                    <w:rPr>
                      <w:i/>
                      <w:sz w:val="20"/>
                    </w:rPr>
                    <w:t>I Evitar exponer a las personas a daños adicionales como resultado de nuestras acciones.</w:t>
                  </w:r>
                </w:p>
                <w:p w:rsidR="00550304" w:rsidRPr="006E3B76" w:rsidRDefault="00550304" w:rsidP="00550304">
                  <w:pPr>
                    <w:pStyle w:val="Prrafodelista"/>
                    <w:numPr>
                      <w:ilvl w:val="0"/>
                      <w:numId w:val="19"/>
                    </w:numPr>
                    <w:rPr>
                      <w:i/>
                      <w:sz w:val="20"/>
                    </w:rPr>
                  </w:pPr>
                  <w:r>
                    <w:rPr>
                      <w:i/>
                      <w:sz w:val="20"/>
                    </w:rPr>
                    <w:t>II Velar por que las personas tengan acceso a una asistencia imparcial, de acuerdo con sus necesidades y sin discriminación.</w:t>
                  </w:r>
                </w:p>
                <w:p w:rsidR="00550304" w:rsidRPr="006E3B76" w:rsidRDefault="00550304" w:rsidP="001E7D06">
                  <w:pPr>
                    <w:pStyle w:val="Prrafodelista"/>
                    <w:numPr>
                      <w:ilvl w:val="0"/>
                      <w:numId w:val="19"/>
                    </w:numPr>
                    <w:rPr>
                      <w:i/>
                      <w:sz w:val="20"/>
                    </w:rPr>
                  </w:pPr>
                  <w:r>
                    <w:rPr>
                      <w:i/>
                      <w:sz w:val="20"/>
                    </w:rPr>
                    <w:t>III Proteger a las personas de los daños físicos y psíquicos causados por la violencia y la coerción.</w:t>
                  </w:r>
                </w:p>
                <w:p w:rsidR="00550304" w:rsidRPr="006E3B76" w:rsidRDefault="00550304" w:rsidP="001E7D06">
                  <w:pPr>
                    <w:pStyle w:val="Prrafodelista"/>
                    <w:numPr>
                      <w:ilvl w:val="0"/>
                      <w:numId w:val="19"/>
                    </w:numPr>
                    <w:rPr>
                      <w:i/>
                      <w:sz w:val="20"/>
                    </w:rPr>
                  </w:pPr>
                  <w:r>
                    <w:rPr>
                      <w:i/>
                      <w:sz w:val="20"/>
                    </w:rPr>
                    <w:t>IV Ayudar a las personas a reivindicar sus derechos, obtener reparación y recuperarse de los efectos de los abusos sufridos.</w:t>
                  </w:r>
                </w:p>
              </w:txbxContent>
            </v:textbox>
            <w10:wrap anchorx="margin"/>
          </v:roundrect>
        </w:pict>
      </w:r>
    </w:p>
    <w:p w:rsidR="00550304" w:rsidRDefault="00550304" w:rsidP="009120CB">
      <w:pPr>
        <w:spacing w:after="0" w:line="257" w:lineRule="auto"/>
        <w:jc w:val="both"/>
        <w:rPr>
          <w:rFonts w:eastAsia="Times New Roman" w:cs="Times New Roman"/>
        </w:rPr>
      </w:pPr>
    </w:p>
    <w:p w:rsidR="00550304" w:rsidRDefault="00550304" w:rsidP="009120CB">
      <w:pPr>
        <w:spacing w:after="0" w:line="257" w:lineRule="auto"/>
        <w:jc w:val="both"/>
        <w:rPr>
          <w:rFonts w:eastAsia="Times New Roman" w:cs="Times New Roman"/>
        </w:rPr>
      </w:pPr>
    </w:p>
    <w:p w:rsidR="00550304" w:rsidRDefault="00550304" w:rsidP="009120CB">
      <w:pPr>
        <w:spacing w:after="0" w:line="257" w:lineRule="auto"/>
        <w:jc w:val="both"/>
        <w:rPr>
          <w:rFonts w:eastAsia="Times New Roman" w:cs="Times New Roman"/>
        </w:rPr>
      </w:pPr>
    </w:p>
    <w:p w:rsidR="00550304" w:rsidRDefault="00550304" w:rsidP="009120CB">
      <w:pPr>
        <w:spacing w:after="0" w:line="257" w:lineRule="auto"/>
        <w:jc w:val="both"/>
        <w:rPr>
          <w:rFonts w:eastAsia="Times New Roman" w:cs="Times New Roman"/>
        </w:rPr>
      </w:pPr>
    </w:p>
    <w:p w:rsidR="00550304" w:rsidRDefault="00550304" w:rsidP="009120CB">
      <w:pPr>
        <w:spacing w:after="0" w:line="257" w:lineRule="auto"/>
        <w:jc w:val="both"/>
        <w:rPr>
          <w:rFonts w:eastAsia="Times New Roman" w:cs="Times New Roman"/>
        </w:rPr>
      </w:pPr>
    </w:p>
    <w:p w:rsidR="00550304" w:rsidRDefault="00550304" w:rsidP="009120CB">
      <w:pPr>
        <w:spacing w:after="0" w:line="257" w:lineRule="auto"/>
        <w:jc w:val="both"/>
        <w:rPr>
          <w:rFonts w:eastAsia="Times New Roman" w:cs="Times New Roman"/>
        </w:rPr>
      </w:pPr>
    </w:p>
    <w:p w:rsidR="00550304" w:rsidRDefault="00550304" w:rsidP="009120CB">
      <w:pPr>
        <w:spacing w:after="0" w:line="257" w:lineRule="auto"/>
        <w:jc w:val="both"/>
        <w:rPr>
          <w:rFonts w:eastAsia="Times New Roman" w:cs="Times New Roman"/>
        </w:rPr>
      </w:pPr>
    </w:p>
    <w:p w:rsidR="00550304" w:rsidRDefault="00550304" w:rsidP="009120CB">
      <w:pPr>
        <w:spacing w:after="0" w:line="257" w:lineRule="auto"/>
        <w:jc w:val="both"/>
        <w:rPr>
          <w:rFonts w:eastAsia="Times New Roman" w:cs="Times New Roman"/>
        </w:rPr>
      </w:pPr>
    </w:p>
    <w:p w:rsidR="00550304" w:rsidRPr="00363228" w:rsidRDefault="00550304" w:rsidP="009120CB">
      <w:pPr>
        <w:spacing w:after="0" w:line="257" w:lineRule="auto"/>
        <w:jc w:val="both"/>
        <w:rPr>
          <w:rFonts w:eastAsia="Times New Roman" w:cs="Times New Roman"/>
        </w:rPr>
      </w:pPr>
    </w:p>
    <w:p w:rsidR="00A876DB" w:rsidRDefault="00A876DB" w:rsidP="009120CB">
      <w:pPr>
        <w:spacing w:after="0" w:line="257" w:lineRule="auto"/>
        <w:jc w:val="both"/>
        <w:rPr>
          <w:rFonts w:eastAsia="Times New Roman" w:cs="Times New Roman"/>
          <w:b/>
          <w:color w:val="C00000"/>
        </w:rPr>
      </w:pPr>
    </w:p>
    <w:p w:rsidR="00380D25" w:rsidRDefault="00380D25" w:rsidP="009120CB">
      <w:pPr>
        <w:spacing w:after="0" w:line="257" w:lineRule="auto"/>
        <w:jc w:val="both"/>
        <w:rPr>
          <w:rFonts w:eastAsia="Times New Roman" w:cs="Times New Roman"/>
        </w:rPr>
      </w:pPr>
      <w:r>
        <w:t xml:space="preserve">Los </w:t>
      </w:r>
      <w:r>
        <w:rPr>
          <w:b/>
          <w:color w:val="C00000"/>
        </w:rPr>
        <w:t>riesgos institucionales</w:t>
      </w:r>
      <w:r>
        <w:t xml:space="preserve"> son intrínsecos a una organización o sector, pero tienen implicaciones que van más allá. Los riesgos institucionales incluyen:</w:t>
      </w:r>
    </w:p>
    <w:p w:rsidR="00380D25" w:rsidRDefault="00380D25" w:rsidP="009120CB">
      <w:pPr>
        <w:pStyle w:val="Prrafodelista"/>
        <w:numPr>
          <w:ilvl w:val="0"/>
          <w:numId w:val="17"/>
        </w:numPr>
        <w:spacing w:after="0" w:line="257" w:lineRule="auto"/>
        <w:jc w:val="both"/>
        <w:rPr>
          <w:rFonts w:eastAsia="Times New Roman" w:cs="Times New Roman"/>
        </w:rPr>
      </w:pPr>
      <w:r>
        <w:t xml:space="preserve">El aumento de la politización y la titulización de la ayuda en complejas intervenciones internacionales que compensan objetivos contrapuestos de </w:t>
      </w:r>
      <w:proofErr w:type="gramStart"/>
      <w:r>
        <w:t>carácter político y referentes</w:t>
      </w:r>
      <w:proofErr w:type="gramEnd"/>
      <w:r>
        <w:t xml:space="preserve"> a la seguridad y el desarrollo con las prioridades humanitarias. Esto conlleva un impacto secundario sobre otros riesgos institucionales, incluida la seguridad operativa. </w:t>
      </w:r>
    </w:p>
    <w:p w:rsidR="00380D25" w:rsidRDefault="00380D25" w:rsidP="009120CB">
      <w:pPr>
        <w:pStyle w:val="Prrafodelista"/>
        <w:numPr>
          <w:ilvl w:val="0"/>
          <w:numId w:val="17"/>
        </w:numPr>
        <w:spacing w:after="0" w:line="257" w:lineRule="auto"/>
        <w:jc w:val="both"/>
        <w:rPr>
          <w:rFonts w:eastAsia="Times New Roman" w:cs="Times New Roman"/>
        </w:rPr>
      </w:pPr>
      <w:r>
        <w:t>La incidencia creciente de los ataques a los trabajadores humanitarios, por ejemplo, puede verse como una consecuencia indirecta de la mayor complejidad del entorno de las operaciones, así como del aumento de la presencia de actores humanitarios.</w:t>
      </w:r>
    </w:p>
    <w:p w:rsidR="00380D25" w:rsidRDefault="00380D25" w:rsidP="009120CB">
      <w:pPr>
        <w:pStyle w:val="Prrafodelista"/>
        <w:numPr>
          <w:ilvl w:val="0"/>
          <w:numId w:val="17"/>
        </w:numPr>
        <w:spacing w:after="0" w:line="257" w:lineRule="auto"/>
        <w:jc w:val="both"/>
        <w:rPr>
          <w:rFonts w:eastAsia="Times New Roman" w:cs="Times New Roman"/>
        </w:rPr>
      </w:pPr>
      <w:r>
        <w:t xml:space="preserve">Los riesgos asociados con la corrupción o la confianza, como el cohecho, la extorsión, el soborno, el nepotismo y el amiguismo también son particularmente agudos puesto que las intervenciones humanitarias normalmente tienen lugar en contextos que se </w:t>
      </w:r>
      <w:r>
        <w:lastRenderedPageBreak/>
        <w:t>caracterizan por un estado de derecho débil o inexistente, la corrupción endémica y necesidades abrumadoras.</w:t>
      </w:r>
    </w:p>
    <w:p w:rsidR="001F0BD3" w:rsidRPr="001F0BD3" w:rsidRDefault="001F0BD3" w:rsidP="009120CB">
      <w:pPr>
        <w:pStyle w:val="Prrafodelista"/>
        <w:numPr>
          <w:ilvl w:val="0"/>
          <w:numId w:val="17"/>
        </w:numPr>
        <w:spacing w:after="0" w:line="257" w:lineRule="auto"/>
        <w:jc w:val="both"/>
        <w:rPr>
          <w:rFonts w:eastAsia="Times New Roman" w:cs="Times New Roman"/>
        </w:rPr>
      </w:pPr>
      <w:r>
        <w:t>Riesgos estratégicos para la organización que ejecuta los programas. Las opciones de respuesta deben obedecer a las normativas, los procedimientos internos y la estrategia de la organización.</w:t>
      </w:r>
    </w:p>
    <w:p w:rsidR="001F0BD3" w:rsidRDefault="001F0BD3" w:rsidP="009120CB">
      <w:pPr>
        <w:pStyle w:val="Prrafodelista"/>
        <w:numPr>
          <w:ilvl w:val="0"/>
          <w:numId w:val="17"/>
        </w:numPr>
        <w:spacing w:after="0" w:line="257" w:lineRule="auto"/>
        <w:jc w:val="both"/>
        <w:rPr>
          <w:rFonts w:eastAsia="Times New Roman" w:cs="Times New Roman"/>
        </w:rPr>
      </w:pPr>
      <w:r>
        <w:t>Relación con otros actores.</w:t>
      </w:r>
    </w:p>
    <w:p w:rsidR="00380D25" w:rsidRDefault="00380D25" w:rsidP="009120CB">
      <w:pPr>
        <w:pStyle w:val="Prrafodelista"/>
        <w:numPr>
          <w:ilvl w:val="0"/>
          <w:numId w:val="17"/>
        </w:numPr>
        <w:spacing w:after="0" w:line="257" w:lineRule="auto"/>
        <w:jc w:val="both"/>
        <w:rPr>
          <w:rFonts w:eastAsia="Times New Roman" w:cs="Times New Roman"/>
        </w:rPr>
      </w:pPr>
      <w:r>
        <w:t>El riesgo de una financiación inestable o inflexible también tiene importancia. La financiación humanitaria cada vez está más influida por los intereses políticos</w:t>
      </w:r>
      <w:r w:rsidR="002A097A">
        <w:t>,</w:t>
      </w:r>
      <w:r>
        <w:t xml:space="preserve"> y </w:t>
      </w:r>
      <w:r w:rsidR="002A097A">
        <w:t xml:space="preserve">los relativos a </w:t>
      </w:r>
      <w:r>
        <w:t>la seguridad</w:t>
      </w:r>
      <w:r w:rsidR="002A097A">
        <w:t>,</w:t>
      </w:r>
      <w:r>
        <w:t xml:space="preserve"> de los donantes y por la opinión pública. Como resultado, se ignoran algunas crisis humanitarias mientras otras pueden recibir asignaciones enormes. </w:t>
      </w:r>
    </w:p>
    <w:p w:rsidR="00380D25" w:rsidRPr="00380D25" w:rsidRDefault="00380D25" w:rsidP="009120CB">
      <w:pPr>
        <w:pStyle w:val="Prrafodelista"/>
        <w:numPr>
          <w:ilvl w:val="0"/>
          <w:numId w:val="17"/>
        </w:numPr>
        <w:spacing w:after="0" w:line="257" w:lineRule="auto"/>
        <w:jc w:val="both"/>
        <w:rPr>
          <w:rFonts w:eastAsia="Times New Roman" w:cs="Times New Roman"/>
        </w:rPr>
      </w:pPr>
      <w:r>
        <w:t>El fracaso a la hora de mantener la financiación humanitaria durante la duración de una respuesta prolongada también plantea graves riesgos para lo que se haya podido conseguir con las operaciones iniciales de socorro.</w:t>
      </w:r>
    </w:p>
    <w:p w:rsidR="0021097B" w:rsidRDefault="0021097B" w:rsidP="009120CB">
      <w:pPr>
        <w:spacing w:after="0" w:line="257" w:lineRule="auto"/>
        <w:jc w:val="both"/>
        <w:rPr>
          <w:rFonts w:eastAsia="Times New Roman" w:cs="Times New Roman"/>
        </w:rPr>
      </w:pPr>
    </w:p>
    <w:p w:rsidR="00380D25" w:rsidRDefault="00380D25" w:rsidP="009120CB">
      <w:pPr>
        <w:spacing w:after="0" w:line="257" w:lineRule="auto"/>
        <w:jc w:val="both"/>
        <w:rPr>
          <w:rFonts w:eastAsia="Times New Roman" w:cs="Times New Roman"/>
        </w:rPr>
      </w:pPr>
      <w:r>
        <w:t xml:space="preserve">Muchos riesgos institucionales están relacionados con la reputación. Para las entidades de ayuda, cualquier perjuicio a su reputación en sus países, con el público o en el gobierno puede limitar la influencia que tienen sobre las prioridades políticas domésticas cuando defienden un caso de índole humanitaria. El daño a la reputación de una agencia operativa puede provocar recortes en su financiación o puede dar lugar a que su personal sufra amenazas y limitar el acceso a los beneficiarios. </w:t>
      </w:r>
    </w:p>
    <w:p w:rsidR="00380D25" w:rsidRPr="00BB43A1" w:rsidRDefault="00380D25" w:rsidP="009120CB">
      <w:pPr>
        <w:spacing w:after="0" w:line="257" w:lineRule="auto"/>
        <w:jc w:val="both"/>
        <w:rPr>
          <w:rFonts w:eastAsia="Times New Roman" w:cs="Times New Roman"/>
        </w:rPr>
      </w:pPr>
    </w:p>
    <w:p w:rsidR="006E3B76" w:rsidRDefault="006E3B76" w:rsidP="009120CB">
      <w:pPr>
        <w:spacing w:after="0" w:line="257" w:lineRule="auto"/>
        <w:jc w:val="both"/>
        <w:rPr>
          <w:rFonts w:eastAsia="Times New Roman" w:cs="Times New Roman"/>
          <w:b/>
          <w:color w:val="C00000"/>
        </w:rPr>
      </w:pPr>
    </w:p>
    <w:p w:rsidR="00A25A63" w:rsidRDefault="00A25A63" w:rsidP="009120CB">
      <w:pPr>
        <w:spacing w:after="0" w:line="257" w:lineRule="auto"/>
        <w:jc w:val="both"/>
        <w:rPr>
          <w:rFonts w:eastAsia="Times New Roman" w:cs="Times New Roman"/>
          <w:b/>
          <w:color w:val="C00000"/>
        </w:rPr>
      </w:pPr>
      <w:r>
        <w:rPr>
          <w:b/>
          <w:color w:val="C00000"/>
        </w:rPr>
        <w:t>Proceso de análisis de riesgos</w:t>
      </w:r>
    </w:p>
    <w:p w:rsidR="00AB6BC5" w:rsidRDefault="00AB6BC5" w:rsidP="009120CB">
      <w:pPr>
        <w:spacing w:after="0" w:line="257" w:lineRule="auto"/>
        <w:jc w:val="both"/>
        <w:rPr>
          <w:rFonts w:eastAsia="Times New Roman" w:cs="Times New Roman"/>
        </w:rPr>
      </w:pPr>
    </w:p>
    <w:p w:rsidR="00232325" w:rsidRDefault="00232325" w:rsidP="009120CB">
      <w:pPr>
        <w:spacing w:after="0" w:line="257" w:lineRule="auto"/>
        <w:jc w:val="both"/>
        <w:rPr>
          <w:rFonts w:eastAsia="Times New Roman" w:cs="Times New Roman"/>
        </w:rPr>
      </w:pPr>
      <w:r>
        <w:t>Esta parte servirá de guía para el proceso de análisis de riesgos, partiendo de la identificación y la descripción de los riesgos asociados con las potenciales opciones de respuesta hasta llegar a la clasificación de los riesgos en función de su gravedad y, finalmente, a la decisión sobre qué acción tomar.</w:t>
      </w:r>
    </w:p>
    <w:p w:rsidR="00A25A63" w:rsidRDefault="00A25A63" w:rsidP="009120CB">
      <w:pPr>
        <w:spacing w:after="0" w:line="257" w:lineRule="auto"/>
        <w:jc w:val="both"/>
        <w:rPr>
          <w:rFonts w:eastAsia="Times New Roman" w:cs="Times New Roman"/>
          <w:b/>
          <w:color w:val="C00000"/>
        </w:rPr>
      </w:pPr>
    </w:p>
    <w:p w:rsidR="00A25A63" w:rsidRDefault="00A25A63" w:rsidP="009120CB">
      <w:pPr>
        <w:pStyle w:val="Prrafodelista"/>
        <w:numPr>
          <w:ilvl w:val="0"/>
          <w:numId w:val="20"/>
        </w:numPr>
        <w:spacing w:after="0" w:line="257" w:lineRule="auto"/>
        <w:jc w:val="both"/>
        <w:rPr>
          <w:rFonts w:eastAsia="Times New Roman" w:cs="Times New Roman"/>
        </w:rPr>
      </w:pPr>
      <w:r>
        <w:rPr>
          <w:b/>
        </w:rPr>
        <w:t>Recabar información sobre los riesgos principales asociados con las tres categorías</w:t>
      </w:r>
      <w:r>
        <w:t xml:space="preserve"> (evaluación de riesgos):</w:t>
      </w:r>
    </w:p>
    <w:p w:rsidR="00A25A63" w:rsidRDefault="00A25A63" w:rsidP="009120CB">
      <w:pPr>
        <w:pStyle w:val="Prrafodelista"/>
        <w:numPr>
          <w:ilvl w:val="1"/>
          <w:numId w:val="20"/>
        </w:numPr>
        <w:spacing w:after="0" w:line="257" w:lineRule="auto"/>
        <w:ind w:left="1134"/>
        <w:jc w:val="both"/>
        <w:rPr>
          <w:rFonts w:eastAsia="Times New Roman" w:cs="Times New Roman"/>
        </w:rPr>
      </w:pPr>
      <w:r>
        <w:t>Contexto. Involucrar a las comunidades, las autoridades, las organizaciones que ejecutan los proyectos y otros actores humanitarios. Definir riesgos y vulnerabilidades e identificar a las personas vulnerables en una situación determinada. Evaluar las fuentes de riesgo y cualquier medida de mitigación comunitaria o de autoprotección.</w:t>
      </w:r>
    </w:p>
    <w:p w:rsidR="00A25A63" w:rsidRDefault="00A25A63" w:rsidP="009120CB">
      <w:pPr>
        <w:pStyle w:val="Prrafodelista"/>
        <w:numPr>
          <w:ilvl w:val="1"/>
          <w:numId w:val="20"/>
        </w:numPr>
        <w:spacing w:after="0" w:line="257" w:lineRule="auto"/>
        <w:ind w:left="1134"/>
        <w:jc w:val="both"/>
        <w:rPr>
          <w:rFonts w:eastAsia="Times New Roman" w:cs="Times New Roman"/>
        </w:rPr>
      </w:pPr>
      <w:r>
        <w:t>Programáticos e institucionales. Junto con las demás organizaciones que ejecutan los proyectos (y otros actores), definir los riesgos sobre la base de las lecciones aprendidas (experiencias pasadas), la capacidad de la organización (análisis DAFO de la organización), etc.</w:t>
      </w:r>
    </w:p>
    <w:p w:rsidR="00004596" w:rsidRDefault="00004596" w:rsidP="009120CB">
      <w:pPr>
        <w:spacing w:after="0" w:line="257" w:lineRule="auto"/>
        <w:jc w:val="both"/>
        <w:rPr>
          <w:rFonts w:eastAsia="Times New Roman" w:cs="Times New Roman"/>
          <w:b/>
          <w:color w:val="C00000"/>
        </w:rPr>
      </w:pPr>
    </w:p>
    <w:p w:rsidR="00AB6BC5" w:rsidRPr="00A25A63" w:rsidRDefault="00AB6BC5" w:rsidP="009120CB">
      <w:pPr>
        <w:pStyle w:val="Prrafodelista"/>
        <w:numPr>
          <w:ilvl w:val="0"/>
          <w:numId w:val="20"/>
        </w:numPr>
        <w:spacing w:after="0" w:line="257" w:lineRule="auto"/>
        <w:jc w:val="both"/>
        <w:rPr>
          <w:rFonts w:eastAsia="Times New Roman" w:cs="Times New Roman"/>
        </w:rPr>
      </w:pPr>
      <w:r>
        <w:rPr>
          <w:b/>
        </w:rPr>
        <w:t>Para cada opción de respuesta:</w:t>
      </w:r>
      <w:r>
        <w:t xml:space="preserve"> </w:t>
      </w:r>
    </w:p>
    <w:p w:rsidR="00004596" w:rsidRDefault="00004596" w:rsidP="009120CB">
      <w:pPr>
        <w:pStyle w:val="Prrafodelista"/>
        <w:numPr>
          <w:ilvl w:val="1"/>
          <w:numId w:val="20"/>
        </w:numPr>
        <w:spacing w:after="0" w:line="257" w:lineRule="auto"/>
        <w:ind w:left="1134"/>
        <w:jc w:val="both"/>
        <w:rPr>
          <w:rFonts w:eastAsia="Times New Roman" w:cs="Times New Roman"/>
        </w:rPr>
      </w:pPr>
      <w:r>
        <w:t xml:space="preserve">Hacer una lista de los riesgos evaluados (agrupados en las tres categorías: contextuales, programáticos e institucionales). Los riesgos ligados a cada opción de respuesta deben incluirse en la lista y describirse con claridad. Utilizar la información obtenida mediante el registro de riesgos. </w:t>
      </w:r>
    </w:p>
    <w:p w:rsidR="009120CB" w:rsidRDefault="00004596" w:rsidP="009120CB">
      <w:pPr>
        <w:pStyle w:val="Prrafodelista"/>
        <w:numPr>
          <w:ilvl w:val="1"/>
          <w:numId w:val="20"/>
        </w:numPr>
        <w:spacing w:after="0" w:line="257" w:lineRule="auto"/>
        <w:ind w:left="1134"/>
        <w:jc w:val="both"/>
        <w:rPr>
          <w:rFonts w:eastAsia="Times New Roman" w:cs="Times New Roman"/>
        </w:rPr>
      </w:pPr>
      <w:r>
        <w:lastRenderedPageBreak/>
        <w:t>Analizar su importancia: probabilidad e impacto. Clasificarlos (desde 1 - baja  hasta 5 - alta).</w:t>
      </w:r>
    </w:p>
    <w:p w:rsidR="009120CB" w:rsidRDefault="009120CB" w:rsidP="009120CB">
      <w:pPr>
        <w:pStyle w:val="Prrafodelista"/>
        <w:spacing w:after="0" w:line="257" w:lineRule="auto"/>
        <w:ind w:left="1134"/>
        <w:jc w:val="both"/>
      </w:pPr>
      <w:r>
        <w:t>Clasificar los riesgos en función de su gravedad ayudará a decidir cuáles son aceptables, cuáles pueden mitigarse y cuáles deben evitarse. Se puede hacer esto empleando la matriz de clasificación que se sugiere a continuación.</w:t>
      </w:r>
    </w:p>
    <w:p w:rsidR="009120CB" w:rsidRPr="009120CB" w:rsidRDefault="009120CB" w:rsidP="009120CB">
      <w:pPr>
        <w:pStyle w:val="Prrafodelista"/>
        <w:spacing w:after="0" w:line="257" w:lineRule="auto"/>
        <w:ind w:left="1134"/>
        <w:jc w:val="both"/>
        <w:rPr>
          <w:rFonts w:eastAsia="Times New Roman" w:cs="Times New Roman"/>
        </w:rPr>
      </w:pPr>
    </w:p>
    <w:tbl>
      <w:tblPr>
        <w:tblW w:w="5000" w:type="pct"/>
        <w:jc w:val="center"/>
        <w:tblCellMar>
          <w:left w:w="0" w:type="dxa"/>
          <w:right w:w="0" w:type="dxa"/>
        </w:tblCellMar>
        <w:tblLook w:val="0600"/>
      </w:tblPr>
      <w:tblGrid>
        <w:gridCol w:w="2004"/>
        <w:gridCol w:w="1352"/>
        <w:gridCol w:w="1354"/>
        <w:gridCol w:w="1352"/>
        <w:gridCol w:w="1354"/>
        <w:gridCol w:w="1354"/>
      </w:tblGrid>
      <w:tr w:rsidR="009120CB" w:rsidRPr="009120CB" w:rsidTr="009120CB">
        <w:trPr>
          <w:trHeight w:val="196"/>
          <w:jc w:val="center"/>
        </w:trPr>
        <w:tc>
          <w:tcPr>
            <w:tcW w:w="1142" w:type="pct"/>
            <w:tcBorders>
              <w:top w:val="single" w:sz="8" w:space="0" w:color="595959"/>
              <w:left w:val="single" w:sz="8" w:space="0" w:color="595959"/>
              <w:bottom w:val="single" w:sz="8" w:space="0" w:color="595959"/>
              <w:right w:val="single" w:sz="8" w:space="0" w:color="595959"/>
              <w:tl2br w:val="single" w:sz="8" w:space="0" w:color="595959"/>
            </w:tcBorders>
            <w:shd w:val="clear" w:color="auto" w:fill="DC281E"/>
            <w:tcMar>
              <w:top w:w="72" w:type="dxa"/>
              <w:left w:w="133" w:type="dxa"/>
              <w:bottom w:w="72" w:type="dxa"/>
              <w:right w:w="133" w:type="dxa"/>
            </w:tcMar>
            <w:vAlign w:val="center"/>
            <w:hideMark/>
          </w:tcPr>
          <w:p w:rsidR="009120CB" w:rsidRPr="009120CB" w:rsidRDefault="009120CB" w:rsidP="009120CB">
            <w:pPr>
              <w:spacing w:after="0" w:line="257" w:lineRule="auto"/>
              <w:ind w:right="170"/>
              <w:jc w:val="right"/>
              <w:rPr>
                <w:rFonts w:asciiTheme="majorHAnsi" w:hAnsiTheme="majorHAnsi"/>
                <w:b/>
                <w:color w:val="FFFFFF" w:themeColor="background1"/>
                <w:sz w:val="18"/>
                <w:szCs w:val="20"/>
              </w:rPr>
            </w:pPr>
            <w:r>
              <w:rPr>
                <w:rFonts w:asciiTheme="majorHAnsi" w:hAnsiTheme="majorHAnsi"/>
                <w:b/>
                <w:color w:val="FFFFFF" w:themeColor="background1"/>
                <w:sz w:val="18"/>
              </w:rPr>
              <w:t>Impacto</w:t>
            </w:r>
          </w:p>
          <w:p w:rsidR="009120CB" w:rsidRPr="009120CB" w:rsidRDefault="009120CB" w:rsidP="009120CB">
            <w:pPr>
              <w:spacing w:after="0" w:line="257" w:lineRule="auto"/>
              <w:ind w:left="-142"/>
              <w:rPr>
                <w:rFonts w:asciiTheme="majorHAnsi" w:hAnsiTheme="majorHAnsi"/>
                <w:b/>
                <w:color w:val="FFFFFF" w:themeColor="background1"/>
                <w:sz w:val="18"/>
              </w:rPr>
            </w:pPr>
            <w:r>
              <w:rPr>
                <w:rFonts w:asciiTheme="majorHAnsi" w:hAnsiTheme="majorHAnsi"/>
                <w:b/>
                <w:color w:val="FFFFFF" w:themeColor="background1"/>
                <w:sz w:val="18"/>
              </w:rPr>
              <w:t xml:space="preserve"> Probabilidad</w:t>
            </w:r>
          </w:p>
        </w:tc>
        <w:tc>
          <w:tcPr>
            <w:tcW w:w="771" w:type="pct"/>
            <w:tcBorders>
              <w:top w:val="single" w:sz="8" w:space="0" w:color="595959"/>
              <w:left w:val="single" w:sz="8" w:space="0" w:color="595959"/>
              <w:bottom w:val="single" w:sz="8" w:space="0" w:color="595959"/>
              <w:right w:val="single" w:sz="8" w:space="0" w:color="595959"/>
            </w:tcBorders>
            <w:shd w:val="clear" w:color="auto" w:fill="DC281E"/>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b/>
                <w:color w:val="FFFFFF" w:themeColor="background1"/>
                <w:sz w:val="18"/>
              </w:rPr>
            </w:pPr>
            <w:r>
              <w:rPr>
                <w:rFonts w:asciiTheme="majorHAnsi" w:hAnsiTheme="majorHAnsi"/>
                <w:b/>
                <w:color w:val="FFFFFF" w:themeColor="background1"/>
                <w:sz w:val="18"/>
              </w:rPr>
              <w:t>Despreciable</w:t>
            </w:r>
            <w:r>
              <w:rPr>
                <w:rFonts w:asciiTheme="majorHAnsi" w:hAnsiTheme="majorHAnsi"/>
                <w:b/>
                <w:color w:val="FFFFFF" w:themeColor="background1"/>
                <w:sz w:val="18"/>
              </w:rPr>
              <w:br/>
              <w:t>(1)</w:t>
            </w:r>
          </w:p>
        </w:tc>
        <w:tc>
          <w:tcPr>
            <w:tcW w:w="772" w:type="pct"/>
            <w:tcBorders>
              <w:top w:val="single" w:sz="8" w:space="0" w:color="595959"/>
              <w:left w:val="single" w:sz="8" w:space="0" w:color="595959"/>
              <w:bottom w:val="single" w:sz="8" w:space="0" w:color="595959"/>
              <w:right w:val="single" w:sz="8" w:space="0" w:color="595959"/>
            </w:tcBorders>
            <w:shd w:val="clear" w:color="auto" w:fill="DC281E"/>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b/>
                <w:color w:val="FFFFFF" w:themeColor="background1"/>
                <w:sz w:val="18"/>
              </w:rPr>
            </w:pPr>
            <w:r>
              <w:rPr>
                <w:rFonts w:asciiTheme="majorHAnsi" w:hAnsiTheme="majorHAnsi"/>
                <w:b/>
                <w:color w:val="FFFFFF" w:themeColor="background1"/>
                <w:sz w:val="18"/>
              </w:rPr>
              <w:t>Menor</w:t>
            </w:r>
            <w:r>
              <w:rPr>
                <w:rFonts w:asciiTheme="majorHAnsi" w:hAnsiTheme="majorHAnsi"/>
                <w:b/>
                <w:color w:val="FFFFFF" w:themeColor="background1"/>
                <w:sz w:val="18"/>
              </w:rPr>
              <w:br/>
              <w:t>(2)</w:t>
            </w:r>
          </w:p>
        </w:tc>
        <w:tc>
          <w:tcPr>
            <w:tcW w:w="771" w:type="pct"/>
            <w:tcBorders>
              <w:top w:val="single" w:sz="8" w:space="0" w:color="595959"/>
              <w:left w:val="single" w:sz="8" w:space="0" w:color="595959"/>
              <w:bottom w:val="single" w:sz="8" w:space="0" w:color="595959"/>
              <w:right w:val="single" w:sz="8" w:space="0" w:color="595959"/>
            </w:tcBorders>
            <w:shd w:val="clear" w:color="auto" w:fill="DC281E"/>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b/>
                <w:color w:val="FFFFFF" w:themeColor="background1"/>
                <w:sz w:val="18"/>
              </w:rPr>
            </w:pPr>
            <w:r>
              <w:rPr>
                <w:rFonts w:asciiTheme="majorHAnsi" w:hAnsiTheme="majorHAnsi"/>
                <w:b/>
                <w:color w:val="FFFFFF" w:themeColor="background1"/>
                <w:sz w:val="18"/>
              </w:rPr>
              <w:t>Moderado</w:t>
            </w:r>
            <w:r>
              <w:rPr>
                <w:rFonts w:asciiTheme="majorHAnsi" w:hAnsiTheme="majorHAnsi"/>
                <w:b/>
                <w:color w:val="FFFFFF" w:themeColor="background1"/>
                <w:sz w:val="18"/>
              </w:rPr>
              <w:br/>
              <w:t>(3)</w:t>
            </w:r>
          </w:p>
        </w:tc>
        <w:tc>
          <w:tcPr>
            <w:tcW w:w="772" w:type="pct"/>
            <w:tcBorders>
              <w:top w:val="single" w:sz="8" w:space="0" w:color="595959"/>
              <w:left w:val="single" w:sz="8" w:space="0" w:color="595959"/>
              <w:bottom w:val="single" w:sz="8" w:space="0" w:color="595959"/>
              <w:right w:val="single" w:sz="8" w:space="0" w:color="595959"/>
            </w:tcBorders>
            <w:shd w:val="clear" w:color="auto" w:fill="DC281E"/>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b/>
                <w:color w:val="FFFFFF" w:themeColor="background1"/>
                <w:sz w:val="18"/>
              </w:rPr>
            </w:pPr>
            <w:r>
              <w:rPr>
                <w:rFonts w:asciiTheme="majorHAnsi" w:hAnsiTheme="majorHAnsi"/>
                <w:b/>
                <w:color w:val="FFFFFF" w:themeColor="background1"/>
                <w:sz w:val="18"/>
              </w:rPr>
              <w:t>Grave</w:t>
            </w:r>
            <w:r>
              <w:rPr>
                <w:rFonts w:asciiTheme="majorHAnsi" w:hAnsiTheme="majorHAnsi"/>
                <w:b/>
                <w:color w:val="FFFFFF" w:themeColor="background1"/>
                <w:sz w:val="18"/>
              </w:rPr>
              <w:br/>
              <w:t>(4)</w:t>
            </w:r>
          </w:p>
        </w:tc>
        <w:tc>
          <w:tcPr>
            <w:tcW w:w="772" w:type="pct"/>
            <w:tcBorders>
              <w:top w:val="single" w:sz="8" w:space="0" w:color="595959"/>
              <w:left w:val="single" w:sz="8" w:space="0" w:color="595959"/>
              <w:bottom w:val="single" w:sz="8" w:space="0" w:color="595959"/>
              <w:right w:val="single" w:sz="8" w:space="0" w:color="595959"/>
            </w:tcBorders>
            <w:shd w:val="clear" w:color="auto" w:fill="DC281E"/>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b/>
                <w:color w:val="FFFFFF" w:themeColor="background1"/>
                <w:sz w:val="18"/>
              </w:rPr>
            </w:pPr>
            <w:r>
              <w:rPr>
                <w:rFonts w:asciiTheme="majorHAnsi" w:hAnsiTheme="majorHAnsi"/>
                <w:b/>
                <w:color w:val="FFFFFF" w:themeColor="background1"/>
                <w:sz w:val="18"/>
              </w:rPr>
              <w:t>Crítico</w:t>
            </w:r>
            <w:r>
              <w:rPr>
                <w:rFonts w:asciiTheme="majorHAnsi" w:hAnsiTheme="majorHAnsi"/>
                <w:b/>
                <w:color w:val="FFFFFF" w:themeColor="background1"/>
                <w:sz w:val="18"/>
              </w:rPr>
              <w:br/>
              <w:t>(5)</w:t>
            </w:r>
          </w:p>
        </w:tc>
      </w:tr>
      <w:tr w:rsidR="009120CB" w:rsidRPr="009120CB" w:rsidTr="009120CB">
        <w:trPr>
          <w:trHeight w:val="20"/>
          <w:jc w:val="center"/>
        </w:trPr>
        <w:tc>
          <w:tcPr>
            <w:tcW w:w="1142" w:type="pct"/>
            <w:tcBorders>
              <w:top w:val="single" w:sz="8" w:space="0" w:color="595959"/>
              <w:left w:val="single" w:sz="8" w:space="0" w:color="595959"/>
              <w:bottom w:val="single" w:sz="8" w:space="0" w:color="595959"/>
              <w:right w:val="single" w:sz="8" w:space="0" w:color="595959"/>
            </w:tcBorders>
            <w:shd w:val="clear" w:color="auto" w:fill="A6A6A6"/>
            <w:tcMar>
              <w:top w:w="72" w:type="dxa"/>
              <w:left w:w="133" w:type="dxa"/>
              <w:bottom w:w="72" w:type="dxa"/>
              <w:right w:w="133" w:type="dxa"/>
            </w:tcMar>
            <w:vAlign w:val="center"/>
            <w:hideMark/>
          </w:tcPr>
          <w:p w:rsidR="009120CB" w:rsidRPr="009120CB" w:rsidRDefault="009120CB" w:rsidP="009120CB">
            <w:pPr>
              <w:spacing w:after="0" w:line="257" w:lineRule="auto"/>
              <w:rPr>
                <w:rFonts w:asciiTheme="majorHAnsi" w:hAnsiTheme="majorHAnsi"/>
                <w:sz w:val="18"/>
              </w:rPr>
            </w:pPr>
            <w:r>
              <w:rPr>
                <w:rFonts w:asciiTheme="majorHAnsi" w:hAnsiTheme="majorHAnsi"/>
                <w:sz w:val="18"/>
              </w:rPr>
              <w:t>Muy improbable (1)</w:t>
            </w:r>
          </w:p>
        </w:tc>
        <w:tc>
          <w:tcPr>
            <w:tcW w:w="771" w:type="pct"/>
            <w:tcBorders>
              <w:top w:val="single" w:sz="8" w:space="0" w:color="595959"/>
              <w:left w:val="single" w:sz="8" w:space="0" w:color="595959"/>
              <w:bottom w:val="single" w:sz="8" w:space="0" w:color="595959"/>
              <w:right w:val="single" w:sz="8" w:space="0" w:color="595959"/>
            </w:tcBorders>
            <w:shd w:val="clear" w:color="auto" w:fill="D0EE63"/>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1</w:t>
            </w:r>
          </w:p>
        </w:tc>
        <w:tc>
          <w:tcPr>
            <w:tcW w:w="772" w:type="pct"/>
            <w:tcBorders>
              <w:top w:val="single" w:sz="8" w:space="0" w:color="595959"/>
              <w:left w:val="single" w:sz="8" w:space="0" w:color="595959"/>
              <w:bottom w:val="single" w:sz="8" w:space="0" w:color="595959"/>
              <w:right w:val="single" w:sz="8" w:space="0" w:color="595959"/>
            </w:tcBorders>
            <w:shd w:val="clear" w:color="auto" w:fill="D0EE63"/>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2</w:t>
            </w:r>
          </w:p>
        </w:tc>
        <w:tc>
          <w:tcPr>
            <w:tcW w:w="771" w:type="pct"/>
            <w:tcBorders>
              <w:top w:val="single" w:sz="8" w:space="0" w:color="595959"/>
              <w:left w:val="single" w:sz="8" w:space="0" w:color="595959"/>
              <w:bottom w:val="single" w:sz="8" w:space="0" w:color="595959"/>
              <w:right w:val="single" w:sz="8" w:space="0" w:color="595959"/>
            </w:tcBorders>
            <w:shd w:val="clear" w:color="auto" w:fill="D0EE63"/>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3</w:t>
            </w:r>
          </w:p>
        </w:tc>
        <w:tc>
          <w:tcPr>
            <w:tcW w:w="772" w:type="pct"/>
            <w:tcBorders>
              <w:top w:val="single" w:sz="8" w:space="0" w:color="595959"/>
              <w:left w:val="single" w:sz="8" w:space="0" w:color="595959"/>
              <w:bottom w:val="single" w:sz="8" w:space="0" w:color="595959"/>
              <w:right w:val="single" w:sz="8" w:space="0" w:color="595959"/>
            </w:tcBorders>
            <w:shd w:val="clear" w:color="auto" w:fill="D0EE63"/>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4</w:t>
            </w:r>
          </w:p>
        </w:tc>
        <w:tc>
          <w:tcPr>
            <w:tcW w:w="772" w:type="pct"/>
            <w:tcBorders>
              <w:top w:val="single" w:sz="8" w:space="0" w:color="595959"/>
              <w:left w:val="single" w:sz="8" w:space="0" w:color="595959"/>
              <w:bottom w:val="single" w:sz="8" w:space="0" w:color="595959"/>
              <w:right w:val="single" w:sz="8" w:space="0" w:color="595959"/>
            </w:tcBorders>
            <w:shd w:val="clear" w:color="auto" w:fill="D0EE63"/>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5</w:t>
            </w:r>
          </w:p>
        </w:tc>
      </w:tr>
      <w:tr w:rsidR="009120CB" w:rsidRPr="009120CB" w:rsidTr="009120CB">
        <w:trPr>
          <w:trHeight w:val="20"/>
          <w:jc w:val="center"/>
        </w:trPr>
        <w:tc>
          <w:tcPr>
            <w:tcW w:w="1142" w:type="pct"/>
            <w:tcBorders>
              <w:top w:val="single" w:sz="8" w:space="0" w:color="595959"/>
              <w:left w:val="single" w:sz="8" w:space="0" w:color="595959"/>
              <w:bottom w:val="single" w:sz="8" w:space="0" w:color="595959"/>
              <w:right w:val="single" w:sz="8" w:space="0" w:color="595959"/>
            </w:tcBorders>
            <w:shd w:val="clear" w:color="auto" w:fill="A6A6A6"/>
            <w:tcMar>
              <w:top w:w="72" w:type="dxa"/>
              <w:left w:w="133" w:type="dxa"/>
              <w:bottom w:w="72" w:type="dxa"/>
              <w:right w:w="133" w:type="dxa"/>
            </w:tcMar>
            <w:vAlign w:val="center"/>
            <w:hideMark/>
          </w:tcPr>
          <w:p w:rsidR="009120CB" w:rsidRPr="009120CB" w:rsidRDefault="009120CB" w:rsidP="009120CB">
            <w:pPr>
              <w:spacing w:after="0" w:line="257" w:lineRule="auto"/>
              <w:rPr>
                <w:rFonts w:asciiTheme="majorHAnsi" w:hAnsiTheme="majorHAnsi"/>
                <w:sz w:val="18"/>
              </w:rPr>
            </w:pPr>
            <w:r>
              <w:rPr>
                <w:rFonts w:asciiTheme="majorHAnsi" w:hAnsiTheme="majorHAnsi"/>
                <w:sz w:val="18"/>
              </w:rPr>
              <w:t>Improbable (2)</w:t>
            </w:r>
          </w:p>
        </w:tc>
        <w:tc>
          <w:tcPr>
            <w:tcW w:w="771" w:type="pct"/>
            <w:tcBorders>
              <w:top w:val="single" w:sz="8" w:space="0" w:color="595959"/>
              <w:left w:val="single" w:sz="8" w:space="0" w:color="595959"/>
              <w:bottom w:val="single" w:sz="8" w:space="0" w:color="595959"/>
              <w:right w:val="single" w:sz="8" w:space="0" w:color="595959"/>
            </w:tcBorders>
            <w:shd w:val="clear" w:color="auto" w:fill="D0EE63"/>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2</w:t>
            </w:r>
          </w:p>
        </w:tc>
        <w:tc>
          <w:tcPr>
            <w:tcW w:w="772" w:type="pct"/>
            <w:tcBorders>
              <w:top w:val="single" w:sz="8" w:space="0" w:color="595959"/>
              <w:left w:val="single" w:sz="8" w:space="0" w:color="595959"/>
              <w:bottom w:val="single" w:sz="8" w:space="0" w:color="595959"/>
              <w:right w:val="single" w:sz="8" w:space="0" w:color="595959"/>
            </w:tcBorders>
            <w:shd w:val="clear" w:color="auto" w:fill="D0EE63"/>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4</w:t>
            </w:r>
          </w:p>
        </w:tc>
        <w:tc>
          <w:tcPr>
            <w:tcW w:w="771" w:type="pct"/>
            <w:tcBorders>
              <w:top w:val="single" w:sz="8" w:space="0" w:color="595959"/>
              <w:left w:val="single" w:sz="8" w:space="0" w:color="595959"/>
              <w:bottom w:val="single" w:sz="8" w:space="0" w:color="595959"/>
              <w:right w:val="single" w:sz="8" w:space="0" w:color="595959"/>
            </w:tcBorders>
            <w:shd w:val="clear" w:color="auto" w:fill="D0EE63"/>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6</w:t>
            </w:r>
          </w:p>
        </w:tc>
        <w:tc>
          <w:tcPr>
            <w:tcW w:w="772" w:type="pct"/>
            <w:tcBorders>
              <w:top w:val="single" w:sz="8" w:space="0" w:color="595959"/>
              <w:left w:val="single" w:sz="8" w:space="0" w:color="595959"/>
              <w:bottom w:val="single" w:sz="8" w:space="0" w:color="595959"/>
              <w:right w:val="single" w:sz="8" w:space="0" w:color="595959"/>
            </w:tcBorders>
            <w:shd w:val="clear" w:color="auto" w:fill="70AD47" w:themeFill="accent6"/>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8</w:t>
            </w:r>
          </w:p>
        </w:tc>
        <w:tc>
          <w:tcPr>
            <w:tcW w:w="772" w:type="pct"/>
            <w:tcBorders>
              <w:top w:val="single" w:sz="8" w:space="0" w:color="595959"/>
              <w:left w:val="single" w:sz="8" w:space="0" w:color="595959"/>
              <w:bottom w:val="single" w:sz="8" w:space="0" w:color="595959"/>
              <w:right w:val="single" w:sz="8" w:space="0" w:color="595959"/>
            </w:tcBorders>
            <w:shd w:val="clear" w:color="auto" w:fill="70AD47" w:themeFill="accent6"/>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10</w:t>
            </w:r>
          </w:p>
        </w:tc>
      </w:tr>
      <w:tr w:rsidR="009120CB" w:rsidRPr="009120CB" w:rsidTr="009120CB">
        <w:trPr>
          <w:trHeight w:val="98"/>
          <w:jc w:val="center"/>
        </w:trPr>
        <w:tc>
          <w:tcPr>
            <w:tcW w:w="1142" w:type="pct"/>
            <w:tcBorders>
              <w:top w:val="single" w:sz="8" w:space="0" w:color="595959"/>
              <w:left w:val="single" w:sz="8" w:space="0" w:color="595959"/>
              <w:bottom w:val="single" w:sz="8" w:space="0" w:color="595959"/>
              <w:right w:val="single" w:sz="8" w:space="0" w:color="595959"/>
            </w:tcBorders>
            <w:shd w:val="clear" w:color="auto" w:fill="A6A6A6"/>
            <w:tcMar>
              <w:top w:w="72" w:type="dxa"/>
              <w:left w:w="133" w:type="dxa"/>
              <w:bottom w:w="72" w:type="dxa"/>
              <w:right w:w="133" w:type="dxa"/>
            </w:tcMar>
            <w:vAlign w:val="center"/>
            <w:hideMark/>
          </w:tcPr>
          <w:p w:rsidR="009120CB" w:rsidRPr="009120CB" w:rsidRDefault="009120CB" w:rsidP="009120CB">
            <w:pPr>
              <w:spacing w:after="0" w:line="257" w:lineRule="auto"/>
              <w:rPr>
                <w:rFonts w:asciiTheme="majorHAnsi" w:hAnsiTheme="majorHAnsi"/>
                <w:sz w:val="18"/>
              </w:rPr>
            </w:pPr>
            <w:r>
              <w:rPr>
                <w:rFonts w:asciiTheme="majorHAnsi" w:hAnsiTheme="majorHAnsi"/>
                <w:sz w:val="18"/>
              </w:rPr>
              <w:t>Moderadamente probable (3)</w:t>
            </w:r>
          </w:p>
        </w:tc>
        <w:tc>
          <w:tcPr>
            <w:tcW w:w="771" w:type="pct"/>
            <w:tcBorders>
              <w:top w:val="single" w:sz="8" w:space="0" w:color="595959"/>
              <w:left w:val="single" w:sz="8" w:space="0" w:color="595959"/>
              <w:bottom w:val="single" w:sz="8" w:space="0" w:color="595959"/>
              <w:right w:val="single" w:sz="8" w:space="0" w:color="595959"/>
            </w:tcBorders>
            <w:shd w:val="clear" w:color="auto" w:fill="D0EE63"/>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3</w:t>
            </w:r>
          </w:p>
        </w:tc>
        <w:tc>
          <w:tcPr>
            <w:tcW w:w="772" w:type="pct"/>
            <w:tcBorders>
              <w:top w:val="single" w:sz="8" w:space="0" w:color="595959"/>
              <w:left w:val="single" w:sz="8" w:space="0" w:color="595959"/>
              <w:bottom w:val="single" w:sz="8" w:space="0" w:color="595959"/>
              <w:right w:val="single" w:sz="8" w:space="0" w:color="595959"/>
            </w:tcBorders>
            <w:shd w:val="clear" w:color="auto" w:fill="D0EE63"/>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6</w:t>
            </w:r>
          </w:p>
        </w:tc>
        <w:tc>
          <w:tcPr>
            <w:tcW w:w="771" w:type="pct"/>
            <w:tcBorders>
              <w:top w:val="single" w:sz="8" w:space="0" w:color="595959"/>
              <w:left w:val="single" w:sz="8" w:space="0" w:color="595959"/>
              <w:bottom w:val="single" w:sz="8" w:space="0" w:color="595959"/>
              <w:right w:val="single" w:sz="8" w:space="0" w:color="595959"/>
            </w:tcBorders>
            <w:shd w:val="clear" w:color="auto" w:fill="70AD47" w:themeFill="accent6"/>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9</w:t>
            </w:r>
          </w:p>
        </w:tc>
        <w:tc>
          <w:tcPr>
            <w:tcW w:w="772" w:type="pct"/>
            <w:tcBorders>
              <w:top w:val="single" w:sz="8" w:space="0" w:color="595959"/>
              <w:left w:val="single" w:sz="8" w:space="0" w:color="595959"/>
              <w:bottom w:val="single" w:sz="8" w:space="0" w:color="595959"/>
              <w:right w:val="single" w:sz="8" w:space="0" w:color="595959"/>
            </w:tcBorders>
            <w:shd w:val="clear" w:color="auto" w:fill="70AD47" w:themeFill="accent6"/>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12</w:t>
            </w:r>
          </w:p>
        </w:tc>
        <w:tc>
          <w:tcPr>
            <w:tcW w:w="772" w:type="pct"/>
            <w:tcBorders>
              <w:top w:val="single" w:sz="8" w:space="0" w:color="595959"/>
              <w:left w:val="single" w:sz="8" w:space="0" w:color="595959"/>
              <w:bottom w:val="single" w:sz="8" w:space="0" w:color="595959"/>
              <w:right w:val="single" w:sz="8" w:space="0" w:color="595959"/>
            </w:tcBorders>
            <w:shd w:val="clear" w:color="auto" w:fill="C0504D"/>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15</w:t>
            </w:r>
          </w:p>
        </w:tc>
      </w:tr>
      <w:tr w:rsidR="009120CB" w:rsidRPr="009120CB" w:rsidTr="009120CB">
        <w:trPr>
          <w:trHeight w:val="20"/>
          <w:jc w:val="center"/>
        </w:trPr>
        <w:tc>
          <w:tcPr>
            <w:tcW w:w="1142" w:type="pct"/>
            <w:tcBorders>
              <w:top w:val="single" w:sz="8" w:space="0" w:color="595959"/>
              <w:left w:val="single" w:sz="8" w:space="0" w:color="595959"/>
              <w:bottom w:val="single" w:sz="8" w:space="0" w:color="595959"/>
              <w:right w:val="single" w:sz="8" w:space="0" w:color="595959"/>
            </w:tcBorders>
            <w:shd w:val="clear" w:color="auto" w:fill="A6A6A6"/>
            <w:tcMar>
              <w:top w:w="72" w:type="dxa"/>
              <w:left w:w="133" w:type="dxa"/>
              <w:bottom w:w="72" w:type="dxa"/>
              <w:right w:w="133" w:type="dxa"/>
            </w:tcMar>
            <w:vAlign w:val="center"/>
            <w:hideMark/>
          </w:tcPr>
          <w:p w:rsidR="009120CB" w:rsidRPr="009120CB" w:rsidRDefault="009120CB" w:rsidP="009120CB">
            <w:pPr>
              <w:spacing w:after="0" w:line="257" w:lineRule="auto"/>
              <w:rPr>
                <w:rFonts w:asciiTheme="majorHAnsi" w:hAnsiTheme="majorHAnsi"/>
                <w:sz w:val="18"/>
              </w:rPr>
            </w:pPr>
            <w:r>
              <w:rPr>
                <w:rFonts w:asciiTheme="majorHAnsi" w:hAnsiTheme="majorHAnsi"/>
                <w:sz w:val="18"/>
              </w:rPr>
              <w:t>Probable (4)</w:t>
            </w:r>
          </w:p>
        </w:tc>
        <w:tc>
          <w:tcPr>
            <w:tcW w:w="771" w:type="pct"/>
            <w:tcBorders>
              <w:top w:val="single" w:sz="8" w:space="0" w:color="595959"/>
              <w:left w:val="single" w:sz="8" w:space="0" w:color="595959"/>
              <w:bottom w:val="single" w:sz="8" w:space="0" w:color="595959"/>
              <w:right w:val="single" w:sz="8" w:space="0" w:color="595959"/>
            </w:tcBorders>
            <w:shd w:val="clear" w:color="auto" w:fill="D0EE63"/>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4</w:t>
            </w:r>
          </w:p>
        </w:tc>
        <w:tc>
          <w:tcPr>
            <w:tcW w:w="772" w:type="pct"/>
            <w:tcBorders>
              <w:top w:val="single" w:sz="8" w:space="0" w:color="595959"/>
              <w:left w:val="single" w:sz="8" w:space="0" w:color="595959"/>
              <w:bottom w:val="single" w:sz="8" w:space="0" w:color="595959"/>
              <w:right w:val="single" w:sz="8" w:space="0" w:color="595959"/>
            </w:tcBorders>
            <w:shd w:val="clear" w:color="auto" w:fill="70AD47" w:themeFill="accent6"/>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8</w:t>
            </w:r>
          </w:p>
        </w:tc>
        <w:tc>
          <w:tcPr>
            <w:tcW w:w="771" w:type="pct"/>
            <w:tcBorders>
              <w:top w:val="single" w:sz="8" w:space="0" w:color="595959"/>
              <w:left w:val="single" w:sz="8" w:space="0" w:color="595959"/>
              <w:bottom w:val="single" w:sz="8" w:space="0" w:color="595959"/>
              <w:right w:val="single" w:sz="8" w:space="0" w:color="595959"/>
            </w:tcBorders>
            <w:shd w:val="clear" w:color="auto" w:fill="70AD47" w:themeFill="accent6"/>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12</w:t>
            </w:r>
          </w:p>
        </w:tc>
        <w:tc>
          <w:tcPr>
            <w:tcW w:w="772" w:type="pct"/>
            <w:tcBorders>
              <w:top w:val="single" w:sz="8" w:space="0" w:color="595959"/>
              <w:left w:val="single" w:sz="8" w:space="0" w:color="595959"/>
              <w:bottom w:val="single" w:sz="8" w:space="0" w:color="595959"/>
              <w:right w:val="single" w:sz="8" w:space="0" w:color="595959"/>
            </w:tcBorders>
            <w:shd w:val="clear" w:color="auto" w:fill="C0504D"/>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16</w:t>
            </w:r>
          </w:p>
        </w:tc>
        <w:tc>
          <w:tcPr>
            <w:tcW w:w="772" w:type="pct"/>
            <w:tcBorders>
              <w:top w:val="single" w:sz="8" w:space="0" w:color="595959"/>
              <w:left w:val="single" w:sz="8" w:space="0" w:color="595959"/>
              <w:bottom w:val="single" w:sz="8" w:space="0" w:color="595959"/>
              <w:right w:val="single" w:sz="8" w:space="0" w:color="595959"/>
            </w:tcBorders>
            <w:shd w:val="clear" w:color="auto" w:fill="C0504D"/>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20</w:t>
            </w:r>
          </w:p>
        </w:tc>
      </w:tr>
      <w:tr w:rsidR="009120CB" w:rsidRPr="009120CB" w:rsidTr="009120CB">
        <w:trPr>
          <w:trHeight w:val="20"/>
          <w:jc w:val="center"/>
        </w:trPr>
        <w:tc>
          <w:tcPr>
            <w:tcW w:w="1142" w:type="pct"/>
            <w:tcBorders>
              <w:top w:val="single" w:sz="8" w:space="0" w:color="595959"/>
              <w:left w:val="single" w:sz="8" w:space="0" w:color="595959"/>
              <w:bottom w:val="single" w:sz="8" w:space="0" w:color="595959"/>
              <w:right w:val="single" w:sz="8" w:space="0" w:color="595959"/>
            </w:tcBorders>
            <w:shd w:val="clear" w:color="auto" w:fill="A6A6A6"/>
            <w:tcMar>
              <w:top w:w="72" w:type="dxa"/>
              <w:left w:w="133" w:type="dxa"/>
              <w:bottom w:w="72" w:type="dxa"/>
              <w:right w:w="133" w:type="dxa"/>
            </w:tcMar>
            <w:vAlign w:val="center"/>
            <w:hideMark/>
          </w:tcPr>
          <w:p w:rsidR="009120CB" w:rsidRPr="009120CB" w:rsidRDefault="009120CB" w:rsidP="009120CB">
            <w:pPr>
              <w:spacing w:after="0" w:line="257" w:lineRule="auto"/>
              <w:rPr>
                <w:rFonts w:asciiTheme="majorHAnsi" w:hAnsiTheme="majorHAnsi"/>
                <w:sz w:val="18"/>
              </w:rPr>
            </w:pPr>
            <w:r>
              <w:rPr>
                <w:rFonts w:asciiTheme="majorHAnsi" w:hAnsiTheme="majorHAnsi"/>
                <w:sz w:val="18"/>
              </w:rPr>
              <w:t>Muy probable (5)</w:t>
            </w:r>
          </w:p>
        </w:tc>
        <w:tc>
          <w:tcPr>
            <w:tcW w:w="771" w:type="pct"/>
            <w:tcBorders>
              <w:top w:val="single" w:sz="8" w:space="0" w:color="595959"/>
              <w:left w:val="single" w:sz="8" w:space="0" w:color="595959"/>
              <w:bottom w:val="single" w:sz="8" w:space="0" w:color="595959"/>
              <w:right w:val="single" w:sz="8" w:space="0" w:color="595959"/>
            </w:tcBorders>
            <w:shd w:val="clear" w:color="auto" w:fill="D0EE63"/>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5</w:t>
            </w:r>
          </w:p>
        </w:tc>
        <w:tc>
          <w:tcPr>
            <w:tcW w:w="772" w:type="pct"/>
            <w:tcBorders>
              <w:top w:val="single" w:sz="8" w:space="0" w:color="595959"/>
              <w:left w:val="single" w:sz="8" w:space="0" w:color="595959"/>
              <w:bottom w:val="single" w:sz="8" w:space="0" w:color="595959"/>
              <w:right w:val="single" w:sz="8" w:space="0" w:color="595959"/>
            </w:tcBorders>
            <w:shd w:val="clear" w:color="auto" w:fill="70AD47" w:themeFill="accent6"/>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10</w:t>
            </w:r>
          </w:p>
        </w:tc>
        <w:tc>
          <w:tcPr>
            <w:tcW w:w="771" w:type="pct"/>
            <w:tcBorders>
              <w:top w:val="single" w:sz="8" w:space="0" w:color="595959"/>
              <w:left w:val="single" w:sz="8" w:space="0" w:color="595959"/>
              <w:bottom w:val="single" w:sz="8" w:space="0" w:color="595959"/>
              <w:right w:val="single" w:sz="8" w:space="0" w:color="595959"/>
            </w:tcBorders>
            <w:shd w:val="clear" w:color="auto" w:fill="C0504D"/>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15</w:t>
            </w:r>
          </w:p>
        </w:tc>
        <w:tc>
          <w:tcPr>
            <w:tcW w:w="772" w:type="pct"/>
            <w:tcBorders>
              <w:top w:val="single" w:sz="8" w:space="0" w:color="595959"/>
              <w:left w:val="single" w:sz="8" w:space="0" w:color="595959"/>
              <w:bottom w:val="single" w:sz="8" w:space="0" w:color="595959"/>
              <w:right w:val="single" w:sz="8" w:space="0" w:color="595959"/>
            </w:tcBorders>
            <w:shd w:val="clear" w:color="auto" w:fill="C0504D"/>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20</w:t>
            </w:r>
          </w:p>
        </w:tc>
        <w:tc>
          <w:tcPr>
            <w:tcW w:w="772" w:type="pct"/>
            <w:tcBorders>
              <w:top w:val="single" w:sz="8" w:space="0" w:color="595959"/>
              <w:left w:val="single" w:sz="8" w:space="0" w:color="595959"/>
              <w:bottom w:val="single" w:sz="8" w:space="0" w:color="595959"/>
              <w:right w:val="single" w:sz="8" w:space="0" w:color="595959"/>
            </w:tcBorders>
            <w:shd w:val="clear" w:color="auto" w:fill="C0504D"/>
            <w:tcMar>
              <w:top w:w="72" w:type="dxa"/>
              <w:left w:w="133" w:type="dxa"/>
              <w:bottom w:w="72" w:type="dxa"/>
              <w:right w:w="133" w:type="dxa"/>
            </w:tcMar>
            <w:vAlign w:val="center"/>
            <w:hideMark/>
          </w:tcPr>
          <w:p w:rsidR="009120CB" w:rsidRPr="009120CB" w:rsidRDefault="009120CB" w:rsidP="009120CB">
            <w:pPr>
              <w:spacing w:after="0" w:line="257" w:lineRule="auto"/>
              <w:jc w:val="center"/>
              <w:rPr>
                <w:rFonts w:asciiTheme="majorHAnsi" w:hAnsiTheme="majorHAnsi"/>
                <w:sz w:val="18"/>
              </w:rPr>
            </w:pPr>
            <w:r>
              <w:rPr>
                <w:rFonts w:asciiTheme="majorHAnsi" w:hAnsiTheme="majorHAnsi"/>
                <w:sz w:val="18"/>
              </w:rPr>
              <w:t>25</w:t>
            </w:r>
          </w:p>
        </w:tc>
      </w:tr>
    </w:tbl>
    <w:p w:rsidR="009120CB" w:rsidRPr="009120CB" w:rsidRDefault="009120CB" w:rsidP="009120CB">
      <w:pPr>
        <w:spacing w:after="0" w:line="257" w:lineRule="auto"/>
        <w:jc w:val="right"/>
        <w:rPr>
          <w:rFonts w:ascii="Arial" w:hAnsi="Arial"/>
          <w:sz w:val="18"/>
          <w:szCs w:val="20"/>
        </w:rPr>
      </w:pPr>
      <w:r>
        <w:rPr>
          <w:sz w:val="20"/>
        </w:rPr>
        <w:t>Gravedad = puntuación del impacto x puntuación de la probabilidad</w:t>
      </w:r>
    </w:p>
    <w:tbl>
      <w:tblPr>
        <w:tblW w:w="0" w:type="auto"/>
        <w:jc w:val="right"/>
        <w:tblCellMar>
          <w:left w:w="0" w:type="dxa"/>
          <w:right w:w="0" w:type="dxa"/>
        </w:tblCellMar>
        <w:tblLook w:val="0600"/>
      </w:tblPr>
      <w:tblGrid>
        <w:gridCol w:w="1113"/>
        <w:gridCol w:w="1114"/>
        <w:gridCol w:w="1114"/>
      </w:tblGrid>
      <w:tr w:rsidR="009120CB" w:rsidRPr="009120CB" w:rsidTr="009120CB">
        <w:trPr>
          <w:trHeight w:val="386"/>
          <w:jc w:val="right"/>
        </w:trPr>
        <w:tc>
          <w:tcPr>
            <w:tcW w:w="1113" w:type="dxa"/>
            <w:tcBorders>
              <w:top w:val="single" w:sz="8" w:space="0" w:color="000000"/>
              <w:left w:val="single" w:sz="8" w:space="0" w:color="595959"/>
              <w:bottom w:val="single" w:sz="8" w:space="0" w:color="000000"/>
              <w:right w:val="single" w:sz="8" w:space="0" w:color="000000"/>
            </w:tcBorders>
            <w:shd w:val="clear" w:color="auto" w:fill="D0EE63"/>
            <w:tcMar>
              <w:top w:w="72" w:type="dxa"/>
              <w:left w:w="144" w:type="dxa"/>
              <w:bottom w:w="72" w:type="dxa"/>
              <w:right w:w="144" w:type="dxa"/>
            </w:tcMar>
            <w:hideMark/>
          </w:tcPr>
          <w:p w:rsidR="009120CB" w:rsidRPr="009120CB" w:rsidRDefault="009120CB" w:rsidP="009120CB">
            <w:pPr>
              <w:spacing w:after="0" w:line="257" w:lineRule="auto"/>
              <w:jc w:val="center"/>
              <w:rPr>
                <w:sz w:val="20"/>
              </w:rPr>
            </w:pPr>
            <w:r>
              <w:rPr>
                <w:sz w:val="20"/>
              </w:rPr>
              <w:t>Leve</w:t>
            </w:r>
            <w:r>
              <w:rPr>
                <w:sz w:val="20"/>
              </w:rPr>
              <w:br/>
              <w:t>1-7</w:t>
            </w:r>
          </w:p>
        </w:tc>
        <w:tc>
          <w:tcPr>
            <w:tcW w:w="1114" w:type="dxa"/>
            <w:tcBorders>
              <w:top w:val="single" w:sz="8" w:space="0" w:color="000000"/>
              <w:left w:val="single" w:sz="8" w:space="0" w:color="000000"/>
              <w:bottom w:val="single" w:sz="8" w:space="0" w:color="000000"/>
              <w:right w:val="single" w:sz="8" w:space="0" w:color="000000"/>
            </w:tcBorders>
            <w:shd w:val="clear" w:color="auto" w:fill="70AD47" w:themeFill="accent6"/>
            <w:tcMar>
              <w:top w:w="72" w:type="dxa"/>
              <w:left w:w="144" w:type="dxa"/>
              <w:bottom w:w="72" w:type="dxa"/>
              <w:right w:w="144" w:type="dxa"/>
            </w:tcMar>
            <w:hideMark/>
          </w:tcPr>
          <w:p w:rsidR="009120CB" w:rsidRPr="009120CB" w:rsidRDefault="009120CB" w:rsidP="009120CB">
            <w:pPr>
              <w:spacing w:after="0" w:line="257" w:lineRule="auto"/>
              <w:jc w:val="center"/>
              <w:rPr>
                <w:sz w:val="20"/>
              </w:rPr>
            </w:pPr>
            <w:r>
              <w:rPr>
                <w:sz w:val="20"/>
              </w:rPr>
              <w:t>Media</w:t>
            </w:r>
            <w:r>
              <w:rPr>
                <w:sz w:val="20"/>
              </w:rPr>
              <w:br/>
              <w:t>8-14</w:t>
            </w:r>
          </w:p>
        </w:tc>
        <w:tc>
          <w:tcPr>
            <w:tcW w:w="1114" w:type="dxa"/>
            <w:tcBorders>
              <w:top w:val="single" w:sz="8" w:space="0" w:color="000000"/>
              <w:left w:val="single" w:sz="8" w:space="0" w:color="000000"/>
              <w:bottom w:val="single" w:sz="8" w:space="0" w:color="000000"/>
              <w:right w:val="single" w:sz="8" w:space="0" w:color="FFFFFF"/>
            </w:tcBorders>
            <w:shd w:val="clear" w:color="auto" w:fill="C0504D"/>
            <w:tcMar>
              <w:top w:w="72" w:type="dxa"/>
              <w:left w:w="144" w:type="dxa"/>
              <w:bottom w:w="72" w:type="dxa"/>
              <w:right w:w="144" w:type="dxa"/>
            </w:tcMar>
            <w:hideMark/>
          </w:tcPr>
          <w:p w:rsidR="009120CB" w:rsidRPr="009120CB" w:rsidRDefault="009120CB" w:rsidP="009120CB">
            <w:pPr>
              <w:spacing w:after="0" w:line="257" w:lineRule="auto"/>
              <w:jc w:val="center"/>
              <w:rPr>
                <w:sz w:val="20"/>
              </w:rPr>
            </w:pPr>
            <w:r>
              <w:rPr>
                <w:sz w:val="20"/>
              </w:rPr>
              <w:t>Alta</w:t>
            </w:r>
            <w:r>
              <w:rPr>
                <w:sz w:val="20"/>
              </w:rPr>
              <w:br/>
              <w:t>15-25</w:t>
            </w:r>
          </w:p>
        </w:tc>
      </w:tr>
    </w:tbl>
    <w:p w:rsidR="009120CB" w:rsidRPr="009120CB" w:rsidRDefault="009120CB" w:rsidP="009120CB">
      <w:pPr>
        <w:spacing w:after="0" w:line="257" w:lineRule="auto"/>
        <w:jc w:val="both"/>
        <w:rPr>
          <w:rFonts w:eastAsia="Times New Roman" w:cs="Times New Roman"/>
        </w:rPr>
      </w:pPr>
    </w:p>
    <w:p w:rsidR="00A25A63" w:rsidRDefault="00AB6BC5" w:rsidP="009120CB">
      <w:pPr>
        <w:pStyle w:val="Prrafodelista"/>
        <w:numPr>
          <w:ilvl w:val="1"/>
          <w:numId w:val="20"/>
        </w:numPr>
        <w:spacing w:after="0" w:line="257" w:lineRule="auto"/>
        <w:ind w:left="1134"/>
        <w:jc w:val="both"/>
        <w:rPr>
          <w:rFonts w:eastAsia="Times New Roman" w:cs="Times New Roman"/>
        </w:rPr>
      </w:pPr>
      <w:r>
        <w:t>Analizar la relación entre el riesgo y la intervención. Determinar si el riesgo es específico de la intervención (p. ej., riesgo para la seguridad de la población beneficiaria) y si las vulnerabilidades evaluadas (físicas, sociales, económicas y medioambientales) se pueden abordar con la intervención.</w:t>
      </w:r>
    </w:p>
    <w:p w:rsidR="00D3218B" w:rsidRDefault="00D3218B" w:rsidP="009120CB">
      <w:pPr>
        <w:pStyle w:val="Prrafodelista"/>
        <w:numPr>
          <w:ilvl w:val="1"/>
          <w:numId w:val="20"/>
        </w:numPr>
        <w:spacing w:after="0" w:line="257" w:lineRule="auto"/>
        <w:ind w:left="1134"/>
        <w:jc w:val="both"/>
        <w:rPr>
          <w:rFonts w:eastAsia="Times New Roman" w:cs="Times New Roman"/>
        </w:rPr>
      </w:pPr>
      <w:r>
        <w:t>Identificar las medidas de mitigación y los mecanismos de seguimiento que podrían adoptarse para reducir y/o minimizar cualquier riesgo.</w:t>
      </w:r>
    </w:p>
    <w:p w:rsidR="00004596" w:rsidRDefault="00004596" w:rsidP="009120CB">
      <w:pPr>
        <w:spacing w:after="0" w:line="257" w:lineRule="auto"/>
        <w:jc w:val="both"/>
        <w:rPr>
          <w:rFonts w:eastAsia="Times New Roman" w:cs="Times New Roman"/>
          <w:b/>
          <w:color w:val="C00000"/>
        </w:rPr>
      </w:pPr>
      <w:bookmarkStart w:id="0" w:name="_GoBack"/>
      <w:bookmarkEnd w:id="0"/>
    </w:p>
    <w:p w:rsidR="00004596" w:rsidRPr="00004596" w:rsidRDefault="00004596" w:rsidP="009120CB">
      <w:pPr>
        <w:spacing w:after="0" w:line="257" w:lineRule="auto"/>
        <w:jc w:val="both"/>
        <w:rPr>
          <w:rFonts w:eastAsia="Times New Roman" w:cs="Times New Roman"/>
          <w:b/>
          <w:color w:val="C00000"/>
        </w:rPr>
      </w:pPr>
      <w:r>
        <w:rPr>
          <w:b/>
          <w:color w:val="C00000"/>
        </w:rPr>
        <w:t>Herramienta: ES Template. Risk Analysis Tool 1</w:t>
      </w:r>
    </w:p>
    <w:p w:rsidR="00004596" w:rsidRPr="00004596" w:rsidRDefault="00004596" w:rsidP="009120CB">
      <w:pPr>
        <w:spacing w:after="0" w:line="257" w:lineRule="auto"/>
        <w:jc w:val="both"/>
        <w:rPr>
          <w:rFonts w:eastAsia="Times New Roman" w:cs="Times New Roman"/>
          <w:i/>
        </w:rPr>
      </w:pPr>
      <w:r>
        <w:rPr>
          <w:b/>
          <w:color w:val="C00000"/>
        </w:rPr>
        <w:t>Herramienta: ES Template. Risk Analysis Tool 2</w:t>
      </w:r>
      <w:r>
        <w:rPr>
          <w:i/>
        </w:rPr>
        <w:t xml:space="preserve"> (adaptado de Caja de herramientas para programas de transferencias de efectivo (PTE) en emergencias, FICR/CICR, modelo 1_4_2 CTP Risk matrix template).</w:t>
      </w:r>
    </w:p>
    <w:p w:rsidR="00723CBB" w:rsidRPr="00004596" w:rsidRDefault="00723CBB" w:rsidP="00723CBB">
      <w:pPr>
        <w:spacing w:after="0" w:line="257" w:lineRule="auto"/>
        <w:jc w:val="both"/>
        <w:rPr>
          <w:rFonts w:eastAsia="Times New Roman" w:cs="Times New Roman"/>
          <w:b/>
          <w:color w:val="C00000"/>
        </w:rPr>
      </w:pPr>
      <w:r>
        <w:rPr>
          <w:b/>
          <w:color w:val="C00000"/>
        </w:rPr>
        <w:t>Herramienta: ES Template. Risk Register</w:t>
      </w:r>
      <w:r>
        <w:rPr>
          <w:i/>
        </w:rPr>
        <w:t xml:space="preserve"> (adaptado de Caja de herramientas para programas de transferencias de efectivo (PTE) en emergencias, FICR/CICR, modelo 1_4_3 CTP Risk register template).</w:t>
      </w:r>
    </w:p>
    <w:p w:rsidR="00004596" w:rsidRPr="00004596" w:rsidRDefault="00004596" w:rsidP="009120CB">
      <w:pPr>
        <w:spacing w:after="0" w:line="257" w:lineRule="auto"/>
        <w:jc w:val="both"/>
        <w:rPr>
          <w:rFonts w:eastAsia="Times New Roman" w:cs="Times New Roman"/>
        </w:rPr>
      </w:pPr>
    </w:p>
    <w:p w:rsidR="00FF7D9D" w:rsidRPr="00D3218B" w:rsidRDefault="00FF7D9D" w:rsidP="009120CB">
      <w:pPr>
        <w:pStyle w:val="Prrafodelista"/>
        <w:numPr>
          <w:ilvl w:val="0"/>
          <w:numId w:val="20"/>
        </w:numPr>
        <w:spacing w:after="0" w:line="257" w:lineRule="auto"/>
        <w:jc w:val="both"/>
        <w:rPr>
          <w:rFonts w:eastAsia="Times New Roman" w:cs="Times New Roman"/>
        </w:rPr>
      </w:pPr>
      <w:r>
        <w:t xml:space="preserve">Incluir y/o emplear el compendio del análisis de riesgos (para cada opción de respuesta) para cumplimentar las herramientas </w:t>
      </w:r>
      <w:r>
        <w:rPr>
          <w:b/>
        </w:rPr>
        <w:t>Analizar y decidir la opción de respuesta más adecuada</w:t>
      </w:r>
      <w:r>
        <w:t xml:space="preserve">. </w:t>
      </w:r>
    </w:p>
    <w:p w:rsidR="00AB6BC5" w:rsidRDefault="00AB6BC5" w:rsidP="009120CB">
      <w:pPr>
        <w:spacing w:after="0" w:line="257" w:lineRule="auto"/>
        <w:jc w:val="both"/>
        <w:rPr>
          <w:rFonts w:eastAsia="Times New Roman" w:cs="Times New Roman"/>
        </w:rPr>
      </w:pPr>
    </w:p>
    <w:p w:rsidR="009120CB" w:rsidRPr="009120CB" w:rsidRDefault="009120CB" w:rsidP="009120CB">
      <w:pPr>
        <w:spacing w:after="0" w:line="257" w:lineRule="auto"/>
        <w:jc w:val="both"/>
        <w:rPr>
          <w:rFonts w:eastAsia="Times New Roman" w:cs="Times New Roman"/>
        </w:rPr>
      </w:pPr>
      <w:r>
        <w:t xml:space="preserve">Las </w:t>
      </w:r>
      <w:r>
        <w:rPr>
          <w:b/>
        </w:rPr>
        <w:t>decisiones</w:t>
      </w:r>
      <w:r>
        <w:t xml:space="preserve"> dependerán del </w:t>
      </w:r>
      <w:r>
        <w:rPr>
          <w:b/>
        </w:rPr>
        <w:t>grado de riesgo que la organización esté dispuesta a asumir</w:t>
      </w:r>
      <w:r>
        <w:t xml:space="preserve">. Habitualmente, los riesgos de gravedad leve (en verde) serán aceptados o exigirán mitigación mínima. Los riesgos de gravedad media (en verde oscuro) normalmente se mitigarán. Los riesgos de gravedad alta (en rojo) exigirán medidas de mitigación significativas o evitarse. </w:t>
      </w:r>
      <w:r>
        <w:rPr>
          <w:b/>
        </w:rPr>
        <w:t>Debe hacerse un seguimiento de todos los riesgos, independientemente de su gravedad, a lo largo de la ejecución del programa</w:t>
      </w:r>
      <w:r>
        <w:t>.</w:t>
      </w:r>
    </w:p>
    <w:p w:rsidR="009120CB" w:rsidRDefault="009120CB" w:rsidP="009120CB">
      <w:pPr>
        <w:spacing w:after="0" w:line="257" w:lineRule="auto"/>
        <w:jc w:val="both"/>
        <w:rPr>
          <w:rFonts w:eastAsia="Times New Roman" w:cs="Times New Roman"/>
        </w:rPr>
      </w:pPr>
    </w:p>
    <w:p w:rsidR="009120CB" w:rsidRPr="009120CB" w:rsidRDefault="009120CB" w:rsidP="009120CB">
      <w:pPr>
        <w:spacing w:after="0" w:line="257" w:lineRule="auto"/>
        <w:jc w:val="both"/>
        <w:rPr>
          <w:rFonts w:eastAsia="Times New Roman" w:cs="Times New Roman"/>
        </w:rPr>
      </w:pPr>
      <w:r>
        <w:t>Es preciso comprender si es posible aplicar medidas de mitigación para reducir el riesgo a un nivel aceptable. Asimismo, se puede deci</w:t>
      </w:r>
      <w:r w:rsidR="002A097A">
        <w:t>dir</w:t>
      </w:r>
      <w:r>
        <w:t xml:space="preserve"> </w:t>
      </w:r>
      <w:r>
        <w:rPr>
          <w:b/>
        </w:rPr>
        <w:t>transferir el riesgo</w:t>
      </w:r>
      <w:r>
        <w:t xml:space="preserve"> (p. ej., contratando a una </w:t>
      </w:r>
      <w:r>
        <w:lastRenderedPageBreak/>
        <w:t xml:space="preserve">compañía de seguros o subcontratando a otros asociados que trabajen con un riesgo menor). Si nada de lo descrito anteriormente es posible, quizá sea deseable evitar el riesgo y recurrir a otras alternativas. </w:t>
      </w:r>
    </w:p>
    <w:p w:rsidR="009120CB" w:rsidRPr="009120CB" w:rsidRDefault="009120CB" w:rsidP="009120CB">
      <w:pPr>
        <w:spacing w:after="0" w:line="257" w:lineRule="auto"/>
        <w:jc w:val="both"/>
        <w:rPr>
          <w:rFonts w:eastAsia="Times New Roman" w:cs="Times New Roman"/>
        </w:rPr>
      </w:pPr>
      <w:r>
        <w:t xml:space="preserve">En esencia, las medidas de mitigación deben abordar las causas de los riesgos. Para cada riesgo concreto, se puede considerar más de una medida. </w:t>
      </w:r>
    </w:p>
    <w:p w:rsidR="009120CB" w:rsidRDefault="009120CB" w:rsidP="009120CB">
      <w:pPr>
        <w:spacing w:after="0" w:line="257" w:lineRule="auto"/>
        <w:jc w:val="both"/>
        <w:rPr>
          <w:rFonts w:eastAsia="Times New Roman" w:cs="Times New Roman"/>
        </w:rPr>
      </w:pPr>
    </w:p>
    <w:p w:rsidR="009120CB" w:rsidRDefault="009120CB" w:rsidP="009120CB">
      <w:pPr>
        <w:spacing w:after="0" w:line="257" w:lineRule="auto"/>
        <w:jc w:val="both"/>
        <w:rPr>
          <w:rFonts w:eastAsia="Times New Roman" w:cs="Times New Roman"/>
        </w:rPr>
      </w:pPr>
    </w:p>
    <w:tbl>
      <w:tblPr>
        <w:tblStyle w:val="TableGray"/>
        <w:tblW w:w="5918" w:type="pct"/>
        <w:tblInd w:w="-709" w:type="dxa"/>
        <w:shd w:val="clear" w:color="auto" w:fill="C00000"/>
        <w:tblLayout w:type="fixed"/>
        <w:tblLook w:val="04A0"/>
      </w:tblPr>
      <w:tblGrid>
        <w:gridCol w:w="10401"/>
      </w:tblGrid>
      <w:tr w:rsidR="00232325" w:rsidRPr="00920B77" w:rsidTr="00232325">
        <w:trPr>
          <w:trHeight w:val="3987"/>
        </w:trPr>
        <w:tc>
          <w:tcPr>
            <w:tcW w:w="10065" w:type="dxa"/>
            <w:shd w:val="clear" w:color="auto" w:fill="C00000"/>
            <w:hideMark/>
          </w:tcPr>
          <w:p w:rsidR="00232325" w:rsidRPr="00232325" w:rsidRDefault="00232325" w:rsidP="009120CB">
            <w:pPr>
              <w:spacing w:line="257" w:lineRule="auto"/>
              <w:jc w:val="both"/>
              <w:rPr>
                <w:b/>
                <w:sz w:val="22"/>
                <w:szCs w:val="22"/>
              </w:rPr>
            </w:pPr>
            <w:r>
              <w:rPr>
                <w:b/>
                <w:sz w:val="22"/>
              </w:rPr>
              <w:t>SUGERENCIAS</w:t>
            </w:r>
          </w:p>
          <w:p w:rsidR="00232325" w:rsidRPr="00232325" w:rsidRDefault="00232325" w:rsidP="009120CB">
            <w:pPr>
              <w:pStyle w:val="Prrafodelista"/>
              <w:numPr>
                <w:ilvl w:val="0"/>
                <w:numId w:val="24"/>
              </w:numPr>
              <w:spacing w:line="257" w:lineRule="auto"/>
              <w:ind w:left="453" w:hanging="357"/>
              <w:jc w:val="both"/>
              <w:rPr>
                <w:sz w:val="22"/>
                <w:szCs w:val="22"/>
              </w:rPr>
            </w:pPr>
            <w:r>
              <w:rPr>
                <w:sz w:val="22"/>
              </w:rPr>
              <w:t xml:space="preserve">Los riesgos deben considerarse a lo largo del proceso de análisis de respuestas. El </w:t>
            </w:r>
            <w:r>
              <w:rPr>
                <w:b/>
                <w:sz w:val="22"/>
              </w:rPr>
              <w:t>análisis de riesgos</w:t>
            </w:r>
            <w:r>
              <w:rPr>
                <w:sz w:val="22"/>
              </w:rPr>
              <w:t xml:space="preserve"> puede ayudar a </w:t>
            </w:r>
            <w:r>
              <w:rPr>
                <w:b/>
                <w:sz w:val="22"/>
              </w:rPr>
              <w:t>determinar la viabilidad</w:t>
            </w:r>
            <w:r>
              <w:rPr>
                <w:sz w:val="22"/>
              </w:rPr>
              <w:t xml:space="preserve"> de las opciones de respuesta y puede proporcionar información valiosa para el </w:t>
            </w:r>
            <w:r>
              <w:rPr>
                <w:b/>
                <w:sz w:val="22"/>
              </w:rPr>
              <w:t>análisis comparativo</w:t>
            </w:r>
            <w:r>
              <w:rPr>
                <w:sz w:val="22"/>
              </w:rPr>
              <w:t xml:space="preserve"> de las distintas opciones. </w:t>
            </w:r>
          </w:p>
          <w:p w:rsidR="00232325" w:rsidRPr="00232325" w:rsidRDefault="00232325" w:rsidP="009120CB">
            <w:pPr>
              <w:pStyle w:val="Prrafodelista"/>
              <w:numPr>
                <w:ilvl w:val="0"/>
                <w:numId w:val="24"/>
              </w:numPr>
              <w:spacing w:line="257" w:lineRule="auto"/>
              <w:ind w:left="453" w:hanging="357"/>
              <w:jc w:val="both"/>
              <w:rPr>
                <w:sz w:val="22"/>
                <w:szCs w:val="22"/>
              </w:rPr>
            </w:pPr>
            <w:r>
              <w:rPr>
                <w:sz w:val="22"/>
              </w:rPr>
              <w:t xml:space="preserve">Al considerar el alto número de riesgos asociados con cada opción de respuesta, puede ser aconsejable </w:t>
            </w:r>
            <w:r>
              <w:rPr>
                <w:b/>
                <w:sz w:val="22"/>
              </w:rPr>
              <w:t>concentrar el análisis en los riesgos que se consideren más importantes</w:t>
            </w:r>
            <w:r>
              <w:rPr>
                <w:sz w:val="22"/>
              </w:rPr>
              <w:t xml:space="preserve">. Cuando el tiempo y los recursos disponibles son limitados, se puede realizar un análisis de riesgos detenido para las tres o cuatro </w:t>
            </w:r>
            <w:r>
              <w:rPr>
                <w:b/>
                <w:sz w:val="22"/>
              </w:rPr>
              <w:t>opciones de respuesta más probables</w:t>
            </w:r>
            <w:r>
              <w:rPr>
                <w:sz w:val="22"/>
              </w:rPr>
              <w:t xml:space="preserve">.  </w:t>
            </w:r>
          </w:p>
          <w:p w:rsidR="00232325" w:rsidRPr="00232325" w:rsidRDefault="00232325" w:rsidP="009120CB">
            <w:pPr>
              <w:pStyle w:val="Prrafodelista"/>
              <w:numPr>
                <w:ilvl w:val="0"/>
                <w:numId w:val="24"/>
              </w:numPr>
              <w:spacing w:line="257" w:lineRule="auto"/>
              <w:ind w:left="453" w:hanging="357"/>
              <w:jc w:val="both"/>
              <w:rPr>
                <w:sz w:val="22"/>
                <w:szCs w:val="22"/>
              </w:rPr>
            </w:pPr>
            <w:r>
              <w:rPr>
                <w:sz w:val="22"/>
              </w:rPr>
              <w:t xml:space="preserve">El análisis de riesgos puede enriquecerse con la </w:t>
            </w:r>
            <w:r>
              <w:rPr>
                <w:b/>
                <w:sz w:val="22"/>
              </w:rPr>
              <w:t>participación de un grupo diverso de actores</w:t>
            </w:r>
            <w:r>
              <w:rPr>
                <w:sz w:val="22"/>
              </w:rPr>
              <w:t xml:space="preserve"> (incluidos los miembros del equipo de evaluación, los voluntarios, el personal del programa, las unidades de logística y finanzas).</w:t>
            </w:r>
          </w:p>
          <w:p w:rsidR="00232325" w:rsidRPr="00232325" w:rsidRDefault="00232325" w:rsidP="009120CB">
            <w:pPr>
              <w:pStyle w:val="Prrafodelista"/>
              <w:numPr>
                <w:ilvl w:val="0"/>
                <w:numId w:val="24"/>
              </w:numPr>
              <w:spacing w:line="257" w:lineRule="auto"/>
              <w:ind w:left="453" w:hanging="357"/>
              <w:jc w:val="both"/>
              <w:rPr>
                <w:sz w:val="22"/>
                <w:szCs w:val="22"/>
              </w:rPr>
            </w:pPr>
            <w:r>
              <w:rPr>
                <w:sz w:val="22"/>
              </w:rPr>
              <w:t xml:space="preserve">La creación de un espacio para la </w:t>
            </w:r>
            <w:r>
              <w:rPr>
                <w:b/>
                <w:sz w:val="22"/>
              </w:rPr>
              <w:t>participación comunitaria en la gestión y el seguimiento de los riesgos</w:t>
            </w:r>
            <w:r>
              <w:rPr>
                <w:sz w:val="22"/>
              </w:rPr>
              <w:t xml:space="preserve"> puede aumentar la responsabilidad de los miembros de la comunidad, lo que garantiza la integridad de la intervención y, en definitiva, reduce los riesgos. </w:t>
            </w:r>
          </w:p>
          <w:p w:rsidR="00232325" w:rsidRPr="00232325" w:rsidRDefault="00232325" w:rsidP="009120CB">
            <w:pPr>
              <w:spacing w:line="257" w:lineRule="auto"/>
              <w:ind w:left="96"/>
              <w:jc w:val="both"/>
              <w:rPr>
                <w:sz w:val="10"/>
                <w:szCs w:val="10"/>
              </w:rPr>
            </w:pPr>
          </w:p>
          <w:p w:rsidR="00232325" w:rsidRPr="00232325" w:rsidRDefault="00232325" w:rsidP="009120CB">
            <w:pPr>
              <w:spacing w:line="257" w:lineRule="auto"/>
              <w:ind w:left="96"/>
              <w:jc w:val="right"/>
            </w:pPr>
            <w:r>
              <w:rPr>
                <w:i/>
              </w:rPr>
              <w:t>Fuente: FICR/CICR. Caja de herramientas para programas de transferencias de efectivo (PTE) en emergencias.</w:t>
            </w:r>
          </w:p>
        </w:tc>
      </w:tr>
    </w:tbl>
    <w:p w:rsidR="00232325" w:rsidRDefault="00232325" w:rsidP="009120CB">
      <w:pPr>
        <w:spacing w:after="0" w:line="257" w:lineRule="auto"/>
        <w:rPr>
          <w:rFonts w:ascii="Arial" w:hAnsi="Arial"/>
          <w:b/>
        </w:rPr>
      </w:pPr>
    </w:p>
    <w:sectPr w:rsidR="00232325" w:rsidSect="0010597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85F"/>
    <w:multiLevelType w:val="hybridMultilevel"/>
    <w:tmpl w:val="9334B21E"/>
    <w:lvl w:ilvl="0" w:tplc="8C1A6DEC">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4F3A29"/>
    <w:multiLevelType w:val="hybridMultilevel"/>
    <w:tmpl w:val="E8CC5B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7CA0EAE"/>
    <w:multiLevelType w:val="hybridMultilevel"/>
    <w:tmpl w:val="77848300"/>
    <w:lvl w:ilvl="0" w:tplc="F1D88E3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1441A1"/>
    <w:multiLevelType w:val="hybridMultilevel"/>
    <w:tmpl w:val="0EE028B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91E4685"/>
    <w:multiLevelType w:val="hybridMultilevel"/>
    <w:tmpl w:val="2C32F9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BF7049D"/>
    <w:multiLevelType w:val="hybridMultilevel"/>
    <w:tmpl w:val="6FCC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C7D1C98"/>
    <w:multiLevelType w:val="hybridMultilevel"/>
    <w:tmpl w:val="7932FF2A"/>
    <w:lvl w:ilvl="0" w:tplc="0409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DF27571"/>
    <w:multiLevelType w:val="hybridMultilevel"/>
    <w:tmpl w:val="66CE655C"/>
    <w:lvl w:ilvl="0" w:tplc="0409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2B93FA8"/>
    <w:multiLevelType w:val="hybridMultilevel"/>
    <w:tmpl w:val="B0E00CF2"/>
    <w:lvl w:ilvl="0" w:tplc="0409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37021447"/>
    <w:multiLevelType w:val="hybridMultilevel"/>
    <w:tmpl w:val="17F6BC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96E70A1"/>
    <w:multiLevelType w:val="hybridMultilevel"/>
    <w:tmpl w:val="5ACE03E2"/>
    <w:lvl w:ilvl="0" w:tplc="04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FF96B99"/>
    <w:multiLevelType w:val="hybridMultilevel"/>
    <w:tmpl w:val="4500754C"/>
    <w:lvl w:ilvl="0" w:tplc="04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441B10C1"/>
    <w:multiLevelType w:val="hybridMultilevel"/>
    <w:tmpl w:val="FD4AB4E0"/>
    <w:lvl w:ilvl="0" w:tplc="0409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8437539"/>
    <w:multiLevelType w:val="hybridMultilevel"/>
    <w:tmpl w:val="AE80D0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6A3CB0"/>
    <w:multiLevelType w:val="hybridMultilevel"/>
    <w:tmpl w:val="D98210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529720AD"/>
    <w:multiLevelType w:val="hybridMultilevel"/>
    <w:tmpl w:val="82FA4DC4"/>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8613D32"/>
    <w:multiLevelType w:val="hybridMultilevel"/>
    <w:tmpl w:val="BF78E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5DCC139D"/>
    <w:multiLevelType w:val="hybridMultilevel"/>
    <w:tmpl w:val="9B14FA1A"/>
    <w:lvl w:ilvl="0" w:tplc="5964B292">
      <w:start w:val="1"/>
      <w:numFmt w:val="bullet"/>
      <w:pStyle w:val="Bullet2"/>
      <w:lvlText w:val=""/>
      <w:lvlJc w:val="left"/>
      <w:pPr>
        <w:ind w:left="720" w:hanging="360"/>
      </w:pPr>
      <w:rPr>
        <w:rFonts w:ascii="Symbol" w:hAnsi="Symbol" w:hint="default"/>
        <w:b/>
        <w:color w:val="DC281E"/>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8">
    <w:nsid w:val="5E9F3BBB"/>
    <w:multiLevelType w:val="hybridMultilevel"/>
    <w:tmpl w:val="4BE0429A"/>
    <w:lvl w:ilvl="0" w:tplc="A9DE4814">
      <w:start w:val="1"/>
      <w:numFmt w:val="bullet"/>
      <w:pStyle w:val="BulletTableau"/>
      <w:lvlText w:val=""/>
      <w:lvlJc w:val="left"/>
      <w:pPr>
        <w:ind w:left="1080" w:hanging="360"/>
      </w:pPr>
      <w:rPr>
        <w:rFonts w:ascii="Symbol" w:hAnsi="Symbol" w:hint="default"/>
        <w:b/>
        <w:color w:val="auto"/>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9">
    <w:nsid w:val="65E13462"/>
    <w:multiLevelType w:val="hybridMultilevel"/>
    <w:tmpl w:val="A05C7D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A116BD1"/>
    <w:multiLevelType w:val="hybridMultilevel"/>
    <w:tmpl w:val="EF16D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1482962"/>
    <w:multiLevelType w:val="hybridMultilevel"/>
    <w:tmpl w:val="7D6E68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A445386"/>
    <w:multiLevelType w:val="hybridMultilevel"/>
    <w:tmpl w:val="11740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F58254C"/>
    <w:multiLevelType w:val="hybridMultilevel"/>
    <w:tmpl w:val="9D566CDE"/>
    <w:lvl w:ilvl="0" w:tplc="0C0A000B">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6"/>
  </w:num>
  <w:num w:numId="4">
    <w:abstractNumId w:val="10"/>
  </w:num>
  <w:num w:numId="5">
    <w:abstractNumId w:val="5"/>
  </w:num>
  <w:num w:numId="6">
    <w:abstractNumId w:val="1"/>
  </w:num>
  <w:num w:numId="7">
    <w:abstractNumId w:val="8"/>
  </w:num>
  <w:num w:numId="8">
    <w:abstractNumId w:val="4"/>
  </w:num>
  <w:num w:numId="9">
    <w:abstractNumId w:val="21"/>
  </w:num>
  <w:num w:numId="10">
    <w:abstractNumId w:val="7"/>
  </w:num>
  <w:num w:numId="11">
    <w:abstractNumId w:val="9"/>
  </w:num>
  <w:num w:numId="12">
    <w:abstractNumId w:val="13"/>
  </w:num>
  <w:num w:numId="13">
    <w:abstractNumId w:val="19"/>
  </w:num>
  <w:num w:numId="14">
    <w:abstractNumId w:val="22"/>
  </w:num>
  <w:num w:numId="15">
    <w:abstractNumId w:val="23"/>
  </w:num>
  <w:num w:numId="16">
    <w:abstractNumId w:val="20"/>
  </w:num>
  <w:num w:numId="17">
    <w:abstractNumId w:val="0"/>
  </w:num>
  <w:num w:numId="18">
    <w:abstractNumId w:val="15"/>
  </w:num>
  <w:num w:numId="19">
    <w:abstractNumId w:val="11"/>
  </w:num>
  <w:num w:numId="20">
    <w:abstractNumId w:val="12"/>
  </w:num>
  <w:num w:numId="21">
    <w:abstractNumId w:val="2"/>
  </w:num>
  <w:num w:numId="22">
    <w:abstractNumId w:val="17"/>
  </w:num>
  <w:num w:numId="23">
    <w:abstractNumId w:val="18"/>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5960A6"/>
    <w:rsid w:val="00001BD5"/>
    <w:rsid w:val="00004596"/>
    <w:rsid w:val="00005C86"/>
    <w:rsid w:val="0000785D"/>
    <w:rsid w:val="00012880"/>
    <w:rsid w:val="00014FA4"/>
    <w:rsid w:val="000151E4"/>
    <w:rsid w:val="000171DE"/>
    <w:rsid w:val="00017A16"/>
    <w:rsid w:val="00020164"/>
    <w:rsid w:val="00020428"/>
    <w:rsid w:val="000238F5"/>
    <w:rsid w:val="00027232"/>
    <w:rsid w:val="0003160A"/>
    <w:rsid w:val="00032F07"/>
    <w:rsid w:val="00033B8A"/>
    <w:rsid w:val="00034541"/>
    <w:rsid w:val="00034AE4"/>
    <w:rsid w:val="00034DFE"/>
    <w:rsid w:val="00035C71"/>
    <w:rsid w:val="00037EF8"/>
    <w:rsid w:val="0004321C"/>
    <w:rsid w:val="00045173"/>
    <w:rsid w:val="00050F26"/>
    <w:rsid w:val="00051E0A"/>
    <w:rsid w:val="00053209"/>
    <w:rsid w:val="0005782D"/>
    <w:rsid w:val="0006266B"/>
    <w:rsid w:val="00063174"/>
    <w:rsid w:val="00063B99"/>
    <w:rsid w:val="000666C4"/>
    <w:rsid w:val="000678D8"/>
    <w:rsid w:val="00071DF3"/>
    <w:rsid w:val="00072D1E"/>
    <w:rsid w:val="00074A3C"/>
    <w:rsid w:val="00076009"/>
    <w:rsid w:val="00076350"/>
    <w:rsid w:val="0007655C"/>
    <w:rsid w:val="00077851"/>
    <w:rsid w:val="000832FD"/>
    <w:rsid w:val="00090C4D"/>
    <w:rsid w:val="00091F00"/>
    <w:rsid w:val="00093E13"/>
    <w:rsid w:val="000949A0"/>
    <w:rsid w:val="000A259A"/>
    <w:rsid w:val="000A5828"/>
    <w:rsid w:val="000A64BC"/>
    <w:rsid w:val="000A6C7B"/>
    <w:rsid w:val="000B082D"/>
    <w:rsid w:val="000B2D9C"/>
    <w:rsid w:val="000B706A"/>
    <w:rsid w:val="000C14EB"/>
    <w:rsid w:val="000C41E9"/>
    <w:rsid w:val="000C53FC"/>
    <w:rsid w:val="000C68AA"/>
    <w:rsid w:val="000D2DAA"/>
    <w:rsid w:val="000D2E8B"/>
    <w:rsid w:val="000D4733"/>
    <w:rsid w:val="000E02B0"/>
    <w:rsid w:val="000E1B60"/>
    <w:rsid w:val="000E285A"/>
    <w:rsid w:val="000E3B5D"/>
    <w:rsid w:val="000E4617"/>
    <w:rsid w:val="000E7261"/>
    <w:rsid w:val="000E7808"/>
    <w:rsid w:val="000F0975"/>
    <w:rsid w:val="000F19F0"/>
    <w:rsid w:val="000F2EA2"/>
    <w:rsid w:val="00103251"/>
    <w:rsid w:val="00105972"/>
    <w:rsid w:val="001074FC"/>
    <w:rsid w:val="00112AA4"/>
    <w:rsid w:val="00112CE6"/>
    <w:rsid w:val="00116392"/>
    <w:rsid w:val="001163C3"/>
    <w:rsid w:val="00116D79"/>
    <w:rsid w:val="00117ED6"/>
    <w:rsid w:val="00120897"/>
    <w:rsid w:val="001228EA"/>
    <w:rsid w:val="00123122"/>
    <w:rsid w:val="00123377"/>
    <w:rsid w:val="00124556"/>
    <w:rsid w:val="00125EA4"/>
    <w:rsid w:val="001271F4"/>
    <w:rsid w:val="00127D1F"/>
    <w:rsid w:val="00131BFB"/>
    <w:rsid w:val="00131C21"/>
    <w:rsid w:val="00132C0A"/>
    <w:rsid w:val="0013319A"/>
    <w:rsid w:val="001340A2"/>
    <w:rsid w:val="00136C92"/>
    <w:rsid w:val="00141E3E"/>
    <w:rsid w:val="00142A10"/>
    <w:rsid w:val="0014327F"/>
    <w:rsid w:val="00145858"/>
    <w:rsid w:val="00147277"/>
    <w:rsid w:val="00147561"/>
    <w:rsid w:val="00150BB5"/>
    <w:rsid w:val="0015103F"/>
    <w:rsid w:val="00152E50"/>
    <w:rsid w:val="00152E96"/>
    <w:rsid w:val="001535B7"/>
    <w:rsid w:val="0015522C"/>
    <w:rsid w:val="0015579E"/>
    <w:rsid w:val="00156277"/>
    <w:rsid w:val="00157970"/>
    <w:rsid w:val="001618AB"/>
    <w:rsid w:val="00165495"/>
    <w:rsid w:val="00166715"/>
    <w:rsid w:val="00166B3A"/>
    <w:rsid w:val="00166D4B"/>
    <w:rsid w:val="001670D3"/>
    <w:rsid w:val="001676F1"/>
    <w:rsid w:val="00170316"/>
    <w:rsid w:val="00171E9E"/>
    <w:rsid w:val="00176187"/>
    <w:rsid w:val="00176490"/>
    <w:rsid w:val="001814D8"/>
    <w:rsid w:val="00184853"/>
    <w:rsid w:val="00185595"/>
    <w:rsid w:val="00185EEE"/>
    <w:rsid w:val="00187527"/>
    <w:rsid w:val="00190919"/>
    <w:rsid w:val="00193E00"/>
    <w:rsid w:val="00194CA6"/>
    <w:rsid w:val="001958DC"/>
    <w:rsid w:val="001971F7"/>
    <w:rsid w:val="001A036C"/>
    <w:rsid w:val="001A23A1"/>
    <w:rsid w:val="001A4E6F"/>
    <w:rsid w:val="001B727E"/>
    <w:rsid w:val="001C30B4"/>
    <w:rsid w:val="001C437B"/>
    <w:rsid w:val="001C65A4"/>
    <w:rsid w:val="001C76F5"/>
    <w:rsid w:val="001D3716"/>
    <w:rsid w:val="001D78AB"/>
    <w:rsid w:val="001D7D95"/>
    <w:rsid w:val="001E3335"/>
    <w:rsid w:val="001E3B9C"/>
    <w:rsid w:val="001E48CD"/>
    <w:rsid w:val="001F0BD3"/>
    <w:rsid w:val="001F0C2A"/>
    <w:rsid w:val="001F18A9"/>
    <w:rsid w:val="001F315A"/>
    <w:rsid w:val="00201B54"/>
    <w:rsid w:val="0020433C"/>
    <w:rsid w:val="0020602A"/>
    <w:rsid w:val="002079E1"/>
    <w:rsid w:val="0021097B"/>
    <w:rsid w:val="00210A07"/>
    <w:rsid w:val="00211317"/>
    <w:rsid w:val="002118AA"/>
    <w:rsid w:val="00213BB2"/>
    <w:rsid w:val="00214DCF"/>
    <w:rsid w:val="002154EF"/>
    <w:rsid w:val="00216AF3"/>
    <w:rsid w:val="002209B5"/>
    <w:rsid w:val="00220CD9"/>
    <w:rsid w:val="00224D44"/>
    <w:rsid w:val="0022582C"/>
    <w:rsid w:val="00226F54"/>
    <w:rsid w:val="0022712E"/>
    <w:rsid w:val="00227ABD"/>
    <w:rsid w:val="00227F5D"/>
    <w:rsid w:val="00231562"/>
    <w:rsid w:val="00232325"/>
    <w:rsid w:val="00232391"/>
    <w:rsid w:val="00234B92"/>
    <w:rsid w:val="00235161"/>
    <w:rsid w:val="0023522C"/>
    <w:rsid w:val="002405F1"/>
    <w:rsid w:val="002421B1"/>
    <w:rsid w:val="00243472"/>
    <w:rsid w:val="00245096"/>
    <w:rsid w:val="00250102"/>
    <w:rsid w:val="002503C0"/>
    <w:rsid w:val="0025040E"/>
    <w:rsid w:val="00250740"/>
    <w:rsid w:val="00251B58"/>
    <w:rsid w:val="00254D26"/>
    <w:rsid w:val="002578D9"/>
    <w:rsid w:val="0026051E"/>
    <w:rsid w:val="00260C4C"/>
    <w:rsid w:val="0026105B"/>
    <w:rsid w:val="00262192"/>
    <w:rsid w:val="00264C8F"/>
    <w:rsid w:val="0027097C"/>
    <w:rsid w:val="00271437"/>
    <w:rsid w:val="002714A4"/>
    <w:rsid w:val="002725B1"/>
    <w:rsid w:val="00277EDC"/>
    <w:rsid w:val="00280BC1"/>
    <w:rsid w:val="00281E6A"/>
    <w:rsid w:val="002825B7"/>
    <w:rsid w:val="00284043"/>
    <w:rsid w:val="00284E88"/>
    <w:rsid w:val="00285508"/>
    <w:rsid w:val="00285A83"/>
    <w:rsid w:val="002867D5"/>
    <w:rsid w:val="002906AD"/>
    <w:rsid w:val="002912E0"/>
    <w:rsid w:val="002914E4"/>
    <w:rsid w:val="00293807"/>
    <w:rsid w:val="002A097A"/>
    <w:rsid w:val="002A0C9F"/>
    <w:rsid w:val="002A2220"/>
    <w:rsid w:val="002A43D8"/>
    <w:rsid w:val="002A5EB0"/>
    <w:rsid w:val="002A7E6A"/>
    <w:rsid w:val="002B0D34"/>
    <w:rsid w:val="002B1340"/>
    <w:rsid w:val="002B3269"/>
    <w:rsid w:val="002B443D"/>
    <w:rsid w:val="002B4BA7"/>
    <w:rsid w:val="002B4D26"/>
    <w:rsid w:val="002C2D4E"/>
    <w:rsid w:val="002C3227"/>
    <w:rsid w:val="002C3A99"/>
    <w:rsid w:val="002C6D52"/>
    <w:rsid w:val="002D1C5B"/>
    <w:rsid w:val="002D42CC"/>
    <w:rsid w:val="002E03C3"/>
    <w:rsid w:val="002E0C23"/>
    <w:rsid w:val="002E283E"/>
    <w:rsid w:val="002E2C86"/>
    <w:rsid w:val="002F6F50"/>
    <w:rsid w:val="00300CA9"/>
    <w:rsid w:val="0030167D"/>
    <w:rsid w:val="003029D2"/>
    <w:rsid w:val="00302D10"/>
    <w:rsid w:val="003034F6"/>
    <w:rsid w:val="0030409C"/>
    <w:rsid w:val="00304213"/>
    <w:rsid w:val="003043CB"/>
    <w:rsid w:val="00304434"/>
    <w:rsid w:val="003047CE"/>
    <w:rsid w:val="00304FD5"/>
    <w:rsid w:val="00305510"/>
    <w:rsid w:val="00307DB4"/>
    <w:rsid w:val="00307ED5"/>
    <w:rsid w:val="00310FA3"/>
    <w:rsid w:val="00311916"/>
    <w:rsid w:val="00312602"/>
    <w:rsid w:val="003129ED"/>
    <w:rsid w:val="0031479E"/>
    <w:rsid w:val="00314FEC"/>
    <w:rsid w:val="003211A6"/>
    <w:rsid w:val="00321521"/>
    <w:rsid w:val="00322F16"/>
    <w:rsid w:val="00324258"/>
    <w:rsid w:val="00326E98"/>
    <w:rsid w:val="00327207"/>
    <w:rsid w:val="003306FF"/>
    <w:rsid w:val="00334B22"/>
    <w:rsid w:val="00336238"/>
    <w:rsid w:val="00340B5E"/>
    <w:rsid w:val="0034305E"/>
    <w:rsid w:val="00345A4D"/>
    <w:rsid w:val="00346621"/>
    <w:rsid w:val="0034750B"/>
    <w:rsid w:val="003513A0"/>
    <w:rsid w:val="00351CFD"/>
    <w:rsid w:val="0035415D"/>
    <w:rsid w:val="003571D9"/>
    <w:rsid w:val="00361779"/>
    <w:rsid w:val="00363228"/>
    <w:rsid w:val="00365253"/>
    <w:rsid w:val="00365443"/>
    <w:rsid w:val="0036672F"/>
    <w:rsid w:val="003701B9"/>
    <w:rsid w:val="003720C1"/>
    <w:rsid w:val="003728BF"/>
    <w:rsid w:val="003731E5"/>
    <w:rsid w:val="00373679"/>
    <w:rsid w:val="0037391B"/>
    <w:rsid w:val="00376700"/>
    <w:rsid w:val="00380D25"/>
    <w:rsid w:val="0038308C"/>
    <w:rsid w:val="00385401"/>
    <w:rsid w:val="003876F7"/>
    <w:rsid w:val="00390023"/>
    <w:rsid w:val="00393167"/>
    <w:rsid w:val="003A17E5"/>
    <w:rsid w:val="003A4A64"/>
    <w:rsid w:val="003A7AE9"/>
    <w:rsid w:val="003B4565"/>
    <w:rsid w:val="003B596F"/>
    <w:rsid w:val="003B6B62"/>
    <w:rsid w:val="003B6CBD"/>
    <w:rsid w:val="003C0B81"/>
    <w:rsid w:val="003C0DBC"/>
    <w:rsid w:val="003C1CD3"/>
    <w:rsid w:val="003C2FB9"/>
    <w:rsid w:val="003C6583"/>
    <w:rsid w:val="003C7994"/>
    <w:rsid w:val="003D058D"/>
    <w:rsid w:val="003D4284"/>
    <w:rsid w:val="003D4956"/>
    <w:rsid w:val="003D6045"/>
    <w:rsid w:val="003E277A"/>
    <w:rsid w:val="003E3EA7"/>
    <w:rsid w:val="003E777F"/>
    <w:rsid w:val="003E7A72"/>
    <w:rsid w:val="003F328D"/>
    <w:rsid w:val="003F3520"/>
    <w:rsid w:val="003F39DE"/>
    <w:rsid w:val="003F75DE"/>
    <w:rsid w:val="003F7C4E"/>
    <w:rsid w:val="004007DE"/>
    <w:rsid w:val="004008E0"/>
    <w:rsid w:val="00401B63"/>
    <w:rsid w:val="00403D84"/>
    <w:rsid w:val="00405D44"/>
    <w:rsid w:val="0041116D"/>
    <w:rsid w:val="00411822"/>
    <w:rsid w:val="004136D3"/>
    <w:rsid w:val="004137B7"/>
    <w:rsid w:val="00414B04"/>
    <w:rsid w:val="004158B7"/>
    <w:rsid w:val="004164E6"/>
    <w:rsid w:val="00416D37"/>
    <w:rsid w:val="0042437C"/>
    <w:rsid w:val="00426B81"/>
    <w:rsid w:val="00436800"/>
    <w:rsid w:val="00437C33"/>
    <w:rsid w:val="00440A4F"/>
    <w:rsid w:val="00440AD9"/>
    <w:rsid w:val="00441486"/>
    <w:rsid w:val="00444EE3"/>
    <w:rsid w:val="00445E87"/>
    <w:rsid w:val="0044671A"/>
    <w:rsid w:val="00451158"/>
    <w:rsid w:val="00453B99"/>
    <w:rsid w:val="00454129"/>
    <w:rsid w:val="00455322"/>
    <w:rsid w:val="00460004"/>
    <w:rsid w:val="00464056"/>
    <w:rsid w:val="004701CA"/>
    <w:rsid w:val="00470A20"/>
    <w:rsid w:val="004735A5"/>
    <w:rsid w:val="00473D7B"/>
    <w:rsid w:val="00476BF1"/>
    <w:rsid w:val="00480F21"/>
    <w:rsid w:val="0048101A"/>
    <w:rsid w:val="004819B8"/>
    <w:rsid w:val="00481A47"/>
    <w:rsid w:val="00482AB0"/>
    <w:rsid w:val="00484BA2"/>
    <w:rsid w:val="00486766"/>
    <w:rsid w:val="00491CE1"/>
    <w:rsid w:val="0049591D"/>
    <w:rsid w:val="00496E21"/>
    <w:rsid w:val="00497044"/>
    <w:rsid w:val="004A20A3"/>
    <w:rsid w:val="004A2C58"/>
    <w:rsid w:val="004A43B8"/>
    <w:rsid w:val="004A5524"/>
    <w:rsid w:val="004A57C9"/>
    <w:rsid w:val="004A5D84"/>
    <w:rsid w:val="004A5F86"/>
    <w:rsid w:val="004A7B5B"/>
    <w:rsid w:val="004A7DCB"/>
    <w:rsid w:val="004B03B7"/>
    <w:rsid w:val="004B2525"/>
    <w:rsid w:val="004B31D5"/>
    <w:rsid w:val="004B36F2"/>
    <w:rsid w:val="004B38E0"/>
    <w:rsid w:val="004B3B2A"/>
    <w:rsid w:val="004B455F"/>
    <w:rsid w:val="004B51E1"/>
    <w:rsid w:val="004C0D21"/>
    <w:rsid w:val="004C273C"/>
    <w:rsid w:val="004C692F"/>
    <w:rsid w:val="004C6E08"/>
    <w:rsid w:val="004C75EF"/>
    <w:rsid w:val="004D0CE9"/>
    <w:rsid w:val="004D24D7"/>
    <w:rsid w:val="004D29C2"/>
    <w:rsid w:val="004D2EBB"/>
    <w:rsid w:val="004D32B1"/>
    <w:rsid w:val="004D6284"/>
    <w:rsid w:val="004D6F13"/>
    <w:rsid w:val="004D72A6"/>
    <w:rsid w:val="004E2577"/>
    <w:rsid w:val="004E484F"/>
    <w:rsid w:val="004E57C9"/>
    <w:rsid w:val="004E6575"/>
    <w:rsid w:val="004F213C"/>
    <w:rsid w:val="004F2A90"/>
    <w:rsid w:val="004F2BC4"/>
    <w:rsid w:val="004F4FF7"/>
    <w:rsid w:val="004F51B9"/>
    <w:rsid w:val="004F6A19"/>
    <w:rsid w:val="005007EB"/>
    <w:rsid w:val="00500906"/>
    <w:rsid w:val="00500B34"/>
    <w:rsid w:val="00501A29"/>
    <w:rsid w:val="005034F0"/>
    <w:rsid w:val="005051F2"/>
    <w:rsid w:val="00505B39"/>
    <w:rsid w:val="00505D23"/>
    <w:rsid w:val="0050656D"/>
    <w:rsid w:val="005065FE"/>
    <w:rsid w:val="005077AC"/>
    <w:rsid w:val="00510D90"/>
    <w:rsid w:val="00513B97"/>
    <w:rsid w:val="00514BA1"/>
    <w:rsid w:val="0052135F"/>
    <w:rsid w:val="00522577"/>
    <w:rsid w:val="0052342D"/>
    <w:rsid w:val="00524A78"/>
    <w:rsid w:val="00530496"/>
    <w:rsid w:val="00530D15"/>
    <w:rsid w:val="005316E3"/>
    <w:rsid w:val="00532680"/>
    <w:rsid w:val="00535279"/>
    <w:rsid w:val="00535F6B"/>
    <w:rsid w:val="00537F36"/>
    <w:rsid w:val="0054026B"/>
    <w:rsid w:val="00540319"/>
    <w:rsid w:val="0054052C"/>
    <w:rsid w:val="005405D3"/>
    <w:rsid w:val="00542DB3"/>
    <w:rsid w:val="00544FFC"/>
    <w:rsid w:val="00545F76"/>
    <w:rsid w:val="00546394"/>
    <w:rsid w:val="005476ED"/>
    <w:rsid w:val="0055011F"/>
    <w:rsid w:val="00550304"/>
    <w:rsid w:val="005533E0"/>
    <w:rsid w:val="00556430"/>
    <w:rsid w:val="00560CDE"/>
    <w:rsid w:val="00561816"/>
    <w:rsid w:val="00562709"/>
    <w:rsid w:val="005633D5"/>
    <w:rsid w:val="00563A2F"/>
    <w:rsid w:val="00564958"/>
    <w:rsid w:val="00564F25"/>
    <w:rsid w:val="00571BCC"/>
    <w:rsid w:val="00571CE9"/>
    <w:rsid w:val="00572FD9"/>
    <w:rsid w:val="00573B7E"/>
    <w:rsid w:val="0057478B"/>
    <w:rsid w:val="00574DB6"/>
    <w:rsid w:val="00576E7A"/>
    <w:rsid w:val="005803E3"/>
    <w:rsid w:val="00583EC5"/>
    <w:rsid w:val="00584822"/>
    <w:rsid w:val="005876EA"/>
    <w:rsid w:val="00591424"/>
    <w:rsid w:val="00592E99"/>
    <w:rsid w:val="005960A6"/>
    <w:rsid w:val="005A008B"/>
    <w:rsid w:val="005A2965"/>
    <w:rsid w:val="005A427A"/>
    <w:rsid w:val="005A59ED"/>
    <w:rsid w:val="005A758C"/>
    <w:rsid w:val="005B25B2"/>
    <w:rsid w:val="005B34EC"/>
    <w:rsid w:val="005B3E41"/>
    <w:rsid w:val="005B4024"/>
    <w:rsid w:val="005C0AC2"/>
    <w:rsid w:val="005C39B3"/>
    <w:rsid w:val="005C429E"/>
    <w:rsid w:val="005C5344"/>
    <w:rsid w:val="005D1713"/>
    <w:rsid w:val="005D5A6D"/>
    <w:rsid w:val="005D6324"/>
    <w:rsid w:val="005E0186"/>
    <w:rsid w:val="005E60CD"/>
    <w:rsid w:val="005E6E11"/>
    <w:rsid w:val="005F20D1"/>
    <w:rsid w:val="005F3C8A"/>
    <w:rsid w:val="005F42F3"/>
    <w:rsid w:val="005F4710"/>
    <w:rsid w:val="005F4F6D"/>
    <w:rsid w:val="006007A3"/>
    <w:rsid w:val="00600E54"/>
    <w:rsid w:val="00601244"/>
    <w:rsid w:val="006014F2"/>
    <w:rsid w:val="00602636"/>
    <w:rsid w:val="00602BFA"/>
    <w:rsid w:val="00602CB1"/>
    <w:rsid w:val="00604415"/>
    <w:rsid w:val="006060D2"/>
    <w:rsid w:val="0060720F"/>
    <w:rsid w:val="00611144"/>
    <w:rsid w:val="00611753"/>
    <w:rsid w:val="00611CB8"/>
    <w:rsid w:val="00612948"/>
    <w:rsid w:val="00613113"/>
    <w:rsid w:val="00614485"/>
    <w:rsid w:val="0061627E"/>
    <w:rsid w:val="00620A6F"/>
    <w:rsid w:val="006215F9"/>
    <w:rsid w:val="00625BFF"/>
    <w:rsid w:val="006278D3"/>
    <w:rsid w:val="00631AB3"/>
    <w:rsid w:val="00631C79"/>
    <w:rsid w:val="00633E70"/>
    <w:rsid w:val="00636EA8"/>
    <w:rsid w:val="0064000E"/>
    <w:rsid w:val="00645078"/>
    <w:rsid w:val="00645813"/>
    <w:rsid w:val="006463EA"/>
    <w:rsid w:val="00647CA2"/>
    <w:rsid w:val="00652D17"/>
    <w:rsid w:val="00653E34"/>
    <w:rsid w:val="00656715"/>
    <w:rsid w:val="006571B8"/>
    <w:rsid w:val="006635AC"/>
    <w:rsid w:val="00664163"/>
    <w:rsid w:val="00666C93"/>
    <w:rsid w:val="006704DD"/>
    <w:rsid w:val="0067120A"/>
    <w:rsid w:val="00673802"/>
    <w:rsid w:val="006803F2"/>
    <w:rsid w:val="00680F49"/>
    <w:rsid w:val="00682371"/>
    <w:rsid w:val="006838A8"/>
    <w:rsid w:val="00686018"/>
    <w:rsid w:val="0068719D"/>
    <w:rsid w:val="006876F0"/>
    <w:rsid w:val="006918B4"/>
    <w:rsid w:val="00693A5E"/>
    <w:rsid w:val="006947C8"/>
    <w:rsid w:val="00694913"/>
    <w:rsid w:val="00696B0C"/>
    <w:rsid w:val="00696D06"/>
    <w:rsid w:val="006973AC"/>
    <w:rsid w:val="0069786D"/>
    <w:rsid w:val="00697C28"/>
    <w:rsid w:val="006A053F"/>
    <w:rsid w:val="006A1E04"/>
    <w:rsid w:val="006A3678"/>
    <w:rsid w:val="006A6345"/>
    <w:rsid w:val="006B1C17"/>
    <w:rsid w:val="006B364A"/>
    <w:rsid w:val="006B5631"/>
    <w:rsid w:val="006C0CCE"/>
    <w:rsid w:val="006C1201"/>
    <w:rsid w:val="006C2FCE"/>
    <w:rsid w:val="006C4B99"/>
    <w:rsid w:val="006C4E97"/>
    <w:rsid w:val="006D12AC"/>
    <w:rsid w:val="006D3303"/>
    <w:rsid w:val="006E3B76"/>
    <w:rsid w:val="006E429F"/>
    <w:rsid w:val="006E54DF"/>
    <w:rsid w:val="006E6643"/>
    <w:rsid w:val="006E7ADF"/>
    <w:rsid w:val="006F03F7"/>
    <w:rsid w:val="006F2C25"/>
    <w:rsid w:val="006F3200"/>
    <w:rsid w:val="0070015E"/>
    <w:rsid w:val="007004EC"/>
    <w:rsid w:val="00704C96"/>
    <w:rsid w:val="00705D02"/>
    <w:rsid w:val="00710862"/>
    <w:rsid w:val="007109CF"/>
    <w:rsid w:val="007111EC"/>
    <w:rsid w:val="0071425A"/>
    <w:rsid w:val="00714304"/>
    <w:rsid w:val="0072202B"/>
    <w:rsid w:val="007221A5"/>
    <w:rsid w:val="00723CBB"/>
    <w:rsid w:val="0072480F"/>
    <w:rsid w:val="00724D7D"/>
    <w:rsid w:val="00724F08"/>
    <w:rsid w:val="00726FCC"/>
    <w:rsid w:val="00730E5D"/>
    <w:rsid w:val="00732858"/>
    <w:rsid w:val="00740E9E"/>
    <w:rsid w:val="00741E9B"/>
    <w:rsid w:val="00742462"/>
    <w:rsid w:val="007431BA"/>
    <w:rsid w:val="007456FF"/>
    <w:rsid w:val="00747A2D"/>
    <w:rsid w:val="00747C84"/>
    <w:rsid w:val="0075016B"/>
    <w:rsid w:val="007503E6"/>
    <w:rsid w:val="007535F2"/>
    <w:rsid w:val="00754135"/>
    <w:rsid w:val="00760176"/>
    <w:rsid w:val="00762271"/>
    <w:rsid w:val="00770444"/>
    <w:rsid w:val="007738F5"/>
    <w:rsid w:val="00777911"/>
    <w:rsid w:val="00777CA9"/>
    <w:rsid w:val="0078092C"/>
    <w:rsid w:val="00781835"/>
    <w:rsid w:val="00782423"/>
    <w:rsid w:val="00783A56"/>
    <w:rsid w:val="0078708D"/>
    <w:rsid w:val="007879A4"/>
    <w:rsid w:val="00787B62"/>
    <w:rsid w:val="007965F4"/>
    <w:rsid w:val="007972FC"/>
    <w:rsid w:val="007A0501"/>
    <w:rsid w:val="007A16B9"/>
    <w:rsid w:val="007A2EF3"/>
    <w:rsid w:val="007A3CBF"/>
    <w:rsid w:val="007A4AB5"/>
    <w:rsid w:val="007B71EC"/>
    <w:rsid w:val="007C02EA"/>
    <w:rsid w:val="007C1DC0"/>
    <w:rsid w:val="007C4572"/>
    <w:rsid w:val="007C497F"/>
    <w:rsid w:val="007C4A01"/>
    <w:rsid w:val="007C4FAF"/>
    <w:rsid w:val="007C5FF1"/>
    <w:rsid w:val="007C681A"/>
    <w:rsid w:val="007C73C2"/>
    <w:rsid w:val="007C7686"/>
    <w:rsid w:val="007D6559"/>
    <w:rsid w:val="007E0CCE"/>
    <w:rsid w:val="007E0E6D"/>
    <w:rsid w:val="007E2B2C"/>
    <w:rsid w:val="007E391A"/>
    <w:rsid w:val="007E3A29"/>
    <w:rsid w:val="007E4193"/>
    <w:rsid w:val="007E4886"/>
    <w:rsid w:val="007F0DA2"/>
    <w:rsid w:val="007F6D9D"/>
    <w:rsid w:val="007F7082"/>
    <w:rsid w:val="008108DD"/>
    <w:rsid w:val="008129F8"/>
    <w:rsid w:val="00812DB5"/>
    <w:rsid w:val="00812F5A"/>
    <w:rsid w:val="00816BC7"/>
    <w:rsid w:val="0081715B"/>
    <w:rsid w:val="0081750E"/>
    <w:rsid w:val="0082052B"/>
    <w:rsid w:val="00824B0B"/>
    <w:rsid w:val="00825235"/>
    <w:rsid w:val="00825A73"/>
    <w:rsid w:val="00826483"/>
    <w:rsid w:val="0083059D"/>
    <w:rsid w:val="00835595"/>
    <w:rsid w:val="00841022"/>
    <w:rsid w:val="00841B0F"/>
    <w:rsid w:val="00842141"/>
    <w:rsid w:val="008448DC"/>
    <w:rsid w:val="00850690"/>
    <w:rsid w:val="00851339"/>
    <w:rsid w:val="00852C5E"/>
    <w:rsid w:val="00852FAC"/>
    <w:rsid w:val="0085418B"/>
    <w:rsid w:val="008551EB"/>
    <w:rsid w:val="0086520D"/>
    <w:rsid w:val="008675DB"/>
    <w:rsid w:val="00871649"/>
    <w:rsid w:val="00871B56"/>
    <w:rsid w:val="00872115"/>
    <w:rsid w:val="008721D5"/>
    <w:rsid w:val="00872B3B"/>
    <w:rsid w:val="0087497A"/>
    <w:rsid w:val="00874BB2"/>
    <w:rsid w:val="0087573A"/>
    <w:rsid w:val="0087620B"/>
    <w:rsid w:val="00882547"/>
    <w:rsid w:val="00884E0D"/>
    <w:rsid w:val="0088708F"/>
    <w:rsid w:val="00891F1B"/>
    <w:rsid w:val="008930CE"/>
    <w:rsid w:val="008A1A4B"/>
    <w:rsid w:val="008A34AA"/>
    <w:rsid w:val="008A3521"/>
    <w:rsid w:val="008A3792"/>
    <w:rsid w:val="008A4ABA"/>
    <w:rsid w:val="008B0754"/>
    <w:rsid w:val="008B0A2A"/>
    <w:rsid w:val="008B1637"/>
    <w:rsid w:val="008B3777"/>
    <w:rsid w:val="008B6BBB"/>
    <w:rsid w:val="008B7C04"/>
    <w:rsid w:val="008C2F11"/>
    <w:rsid w:val="008C3729"/>
    <w:rsid w:val="008C3765"/>
    <w:rsid w:val="008C5581"/>
    <w:rsid w:val="008C55BC"/>
    <w:rsid w:val="008C5980"/>
    <w:rsid w:val="008C6450"/>
    <w:rsid w:val="008C6E59"/>
    <w:rsid w:val="008C70D6"/>
    <w:rsid w:val="008D4D55"/>
    <w:rsid w:val="008D5317"/>
    <w:rsid w:val="008D688D"/>
    <w:rsid w:val="008D7C0C"/>
    <w:rsid w:val="008E469E"/>
    <w:rsid w:val="008E5119"/>
    <w:rsid w:val="008E6670"/>
    <w:rsid w:val="008E7C70"/>
    <w:rsid w:val="008F0943"/>
    <w:rsid w:val="008F1AE9"/>
    <w:rsid w:val="008F3AFB"/>
    <w:rsid w:val="008F6AD9"/>
    <w:rsid w:val="00900A8C"/>
    <w:rsid w:val="009028D6"/>
    <w:rsid w:val="0090458D"/>
    <w:rsid w:val="00906A16"/>
    <w:rsid w:val="00906C26"/>
    <w:rsid w:val="009110BF"/>
    <w:rsid w:val="009120CB"/>
    <w:rsid w:val="00912EE8"/>
    <w:rsid w:val="00914311"/>
    <w:rsid w:val="00915CE8"/>
    <w:rsid w:val="00916BC7"/>
    <w:rsid w:val="0091793F"/>
    <w:rsid w:val="00920B77"/>
    <w:rsid w:val="00921DD3"/>
    <w:rsid w:val="0092352A"/>
    <w:rsid w:val="00930ED7"/>
    <w:rsid w:val="0093255A"/>
    <w:rsid w:val="009330A6"/>
    <w:rsid w:val="00933206"/>
    <w:rsid w:val="00933B40"/>
    <w:rsid w:val="00933B5E"/>
    <w:rsid w:val="00935DFE"/>
    <w:rsid w:val="009360A1"/>
    <w:rsid w:val="00941C30"/>
    <w:rsid w:val="00941C91"/>
    <w:rsid w:val="00942ABD"/>
    <w:rsid w:val="00943165"/>
    <w:rsid w:val="0094446F"/>
    <w:rsid w:val="00945F59"/>
    <w:rsid w:val="00953AAB"/>
    <w:rsid w:val="0096167B"/>
    <w:rsid w:val="009642A3"/>
    <w:rsid w:val="009643AE"/>
    <w:rsid w:val="00967F9F"/>
    <w:rsid w:val="009700C9"/>
    <w:rsid w:val="00971E9A"/>
    <w:rsid w:val="00975DC2"/>
    <w:rsid w:val="00976AE6"/>
    <w:rsid w:val="009838DE"/>
    <w:rsid w:val="00984D05"/>
    <w:rsid w:val="009852B5"/>
    <w:rsid w:val="009854AD"/>
    <w:rsid w:val="00986B15"/>
    <w:rsid w:val="009903B9"/>
    <w:rsid w:val="009936B7"/>
    <w:rsid w:val="00995C43"/>
    <w:rsid w:val="009A15D6"/>
    <w:rsid w:val="009A1DCC"/>
    <w:rsid w:val="009A47A5"/>
    <w:rsid w:val="009B3232"/>
    <w:rsid w:val="009B621F"/>
    <w:rsid w:val="009B6B15"/>
    <w:rsid w:val="009B7D6D"/>
    <w:rsid w:val="009B7D94"/>
    <w:rsid w:val="009C12D6"/>
    <w:rsid w:val="009C28B6"/>
    <w:rsid w:val="009C2BD8"/>
    <w:rsid w:val="009C31CB"/>
    <w:rsid w:val="009D177E"/>
    <w:rsid w:val="009D3944"/>
    <w:rsid w:val="009E2B77"/>
    <w:rsid w:val="009F23CB"/>
    <w:rsid w:val="009F379B"/>
    <w:rsid w:val="009F431C"/>
    <w:rsid w:val="009F7D73"/>
    <w:rsid w:val="009F7F82"/>
    <w:rsid w:val="00A00CA2"/>
    <w:rsid w:val="00A00E62"/>
    <w:rsid w:val="00A03895"/>
    <w:rsid w:val="00A071A9"/>
    <w:rsid w:val="00A1214A"/>
    <w:rsid w:val="00A15A77"/>
    <w:rsid w:val="00A17CA3"/>
    <w:rsid w:val="00A2211E"/>
    <w:rsid w:val="00A25A63"/>
    <w:rsid w:val="00A279D0"/>
    <w:rsid w:val="00A27B3C"/>
    <w:rsid w:val="00A302FD"/>
    <w:rsid w:val="00A322B2"/>
    <w:rsid w:val="00A32AE8"/>
    <w:rsid w:val="00A35F33"/>
    <w:rsid w:val="00A3607A"/>
    <w:rsid w:val="00A4031D"/>
    <w:rsid w:val="00A43D35"/>
    <w:rsid w:val="00A5229F"/>
    <w:rsid w:val="00A553CD"/>
    <w:rsid w:val="00A55B2E"/>
    <w:rsid w:val="00A57486"/>
    <w:rsid w:val="00A57F9E"/>
    <w:rsid w:val="00A61637"/>
    <w:rsid w:val="00A61FFD"/>
    <w:rsid w:val="00A6212A"/>
    <w:rsid w:val="00A643F4"/>
    <w:rsid w:val="00A65DB4"/>
    <w:rsid w:val="00A6770A"/>
    <w:rsid w:val="00A70312"/>
    <w:rsid w:val="00A72D27"/>
    <w:rsid w:val="00A72F22"/>
    <w:rsid w:val="00A758A3"/>
    <w:rsid w:val="00A76DE5"/>
    <w:rsid w:val="00A80315"/>
    <w:rsid w:val="00A808D3"/>
    <w:rsid w:val="00A8498E"/>
    <w:rsid w:val="00A84C8F"/>
    <w:rsid w:val="00A84D56"/>
    <w:rsid w:val="00A8680B"/>
    <w:rsid w:val="00A86A03"/>
    <w:rsid w:val="00A876DB"/>
    <w:rsid w:val="00A94AB9"/>
    <w:rsid w:val="00A967FA"/>
    <w:rsid w:val="00AA50C1"/>
    <w:rsid w:val="00AA63C7"/>
    <w:rsid w:val="00AA6BCC"/>
    <w:rsid w:val="00AA70A3"/>
    <w:rsid w:val="00AA70C9"/>
    <w:rsid w:val="00AB0EE9"/>
    <w:rsid w:val="00AB4B5B"/>
    <w:rsid w:val="00AB6BC5"/>
    <w:rsid w:val="00AB7F3C"/>
    <w:rsid w:val="00AC2165"/>
    <w:rsid w:val="00AD04AF"/>
    <w:rsid w:val="00AD0AD2"/>
    <w:rsid w:val="00AD4CF0"/>
    <w:rsid w:val="00AD7581"/>
    <w:rsid w:val="00AD7B3F"/>
    <w:rsid w:val="00AE0263"/>
    <w:rsid w:val="00AE30F2"/>
    <w:rsid w:val="00AE343D"/>
    <w:rsid w:val="00AE4318"/>
    <w:rsid w:val="00AE4AB1"/>
    <w:rsid w:val="00AE5513"/>
    <w:rsid w:val="00AF2A7B"/>
    <w:rsid w:val="00AF3EBE"/>
    <w:rsid w:val="00AF4B26"/>
    <w:rsid w:val="00AF5C1A"/>
    <w:rsid w:val="00AF6F30"/>
    <w:rsid w:val="00B05262"/>
    <w:rsid w:val="00B10E43"/>
    <w:rsid w:val="00B10FD7"/>
    <w:rsid w:val="00B11179"/>
    <w:rsid w:val="00B12D7B"/>
    <w:rsid w:val="00B130B1"/>
    <w:rsid w:val="00B1333E"/>
    <w:rsid w:val="00B14BEE"/>
    <w:rsid w:val="00B14D78"/>
    <w:rsid w:val="00B16615"/>
    <w:rsid w:val="00B16A16"/>
    <w:rsid w:val="00B17F7C"/>
    <w:rsid w:val="00B22BE5"/>
    <w:rsid w:val="00B22D9D"/>
    <w:rsid w:val="00B23383"/>
    <w:rsid w:val="00B24499"/>
    <w:rsid w:val="00B2658D"/>
    <w:rsid w:val="00B26A8A"/>
    <w:rsid w:val="00B27C91"/>
    <w:rsid w:val="00B3084B"/>
    <w:rsid w:val="00B3488F"/>
    <w:rsid w:val="00B35EE2"/>
    <w:rsid w:val="00B3709F"/>
    <w:rsid w:val="00B43FDA"/>
    <w:rsid w:val="00B454B7"/>
    <w:rsid w:val="00B4715A"/>
    <w:rsid w:val="00B47C13"/>
    <w:rsid w:val="00B51F6C"/>
    <w:rsid w:val="00B609DD"/>
    <w:rsid w:val="00B60EEE"/>
    <w:rsid w:val="00B63404"/>
    <w:rsid w:val="00B63C31"/>
    <w:rsid w:val="00B64FA7"/>
    <w:rsid w:val="00B6508B"/>
    <w:rsid w:val="00B653D5"/>
    <w:rsid w:val="00B66375"/>
    <w:rsid w:val="00B664B1"/>
    <w:rsid w:val="00B700CD"/>
    <w:rsid w:val="00B70E04"/>
    <w:rsid w:val="00B71068"/>
    <w:rsid w:val="00B74BDD"/>
    <w:rsid w:val="00B76212"/>
    <w:rsid w:val="00B762C9"/>
    <w:rsid w:val="00B76460"/>
    <w:rsid w:val="00B8028A"/>
    <w:rsid w:val="00B805B2"/>
    <w:rsid w:val="00B811E1"/>
    <w:rsid w:val="00B83C7D"/>
    <w:rsid w:val="00B856D1"/>
    <w:rsid w:val="00B93D88"/>
    <w:rsid w:val="00B96E5F"/>
    <w:rsid w:val="00B97BDF"/>
    <w:rsid w:val="00BA0873"/>
    <w:rsid w:val="00BA166F"/>
    <w:rsid w:val="00BA23B6"/>
    <w:rsid w:val="00BA4B6C"/>
    <w:rsid w:val="00BA6833"/>
    <w:rsid w:val="00BA750E"/>
    <w:rsid w:val="00BB43A1"/>
    <w:rsid w:val="00BB4DC2"/>
    <w:rsid w:val="00BB705D"/>
    <w:rsid w:val="00BC01CA"/>
    <w:rsid w:val="00BC081B"/>
    <w:rsid w:val="00BC1177"/>
    <w:rsid w:val="00BC32F7"/>
    <w:rsid w:val="00BC482E"/>
    <w:rsid w:val="00BD041A"/>
    <w:rsid w:val="00BD22E4"/>
    <w:rsid w:val="00BD3B20"/>
    <w:rsid w:val="00BD4EA2"/>
    <w:rsid w:val="00BD711A"/>
    <w:rsid w:val="00BE05B8"/>
    <w:rsid w:val="00BE2716"/>
    <w:rsid w:val="00BE3BD1"/>
    <w:rsid w:val="00BE4B1B"/>
    <w:rsid w:val="00BE788A"/>
    <w:rsid w:val="00BF4B41"/>
    <w:rsid w:val="00BF6EC2"/>
    <w:rsid w:val="00C00812"/>
    <w:rsid w:val="00C01556"/>
    <w:rsid w:val="00C0367A"/>
    <w:rsid w:val="00C03AAD"/>
    <w:rsid w:val="00C04FA2"/>
    <w:rsid w:val="00C06D57"/>
    <w:rsid w:val="00C06ECC"/>
    <w:rsid w:val="00C071BA"/>
    <w:rsid w:val="00C10465"/>
    <w:rsid w:val="00C10816"/>
    <w:rsid w:val="00C14F35"/>
    <w:rsid w:val="00C16CFD"/>
    <w:rsid w:val="00C20D37"/>
    <w:rsid w:val="00C20EB5"/>
    <w:rsid w:val="00C22F32"/>
    <w:rsid w:val="00C258EB"/>
    <w:rsid w:val="00C26BCA"/>
    <w:rsid w:val="00C323E0"/>
    <w:rsid w:val="00C32575"/>
    <w:rsid w:val="00C32A1D"/>
    <w:rsid w:val="00C32E8D"/>
    <w:rsid w:val="00C33794"/>
    <w:rsid w:val="00C33A8D"/>
    <w:rsid w:val="00C34D52"/>
    <w:rsid w:val="00C35CB6"/>
    <w:rsid w:val="00C37A2F"/>
    <w:rsid w:val="00C40344"/>
    <w:rsid w:val="00C431B9"/>
    <w:rsid w:val="00C43683"/>
    <w:rsid w:val="00C46580"/>
    <w:rsid w:val="00C47321"/>
    <w:rsid w:val="00C510A1"/>
    <w:rsid w:val="00C54E18"/>
    <w:rsid w:val="00C553D3"/>
    <w:rsid w:val="00C6391D"/>
    <w:rsid w:val="00C63A36"/>
    <w:rsid w:val="00C66143"/>
    <w:rsid w:val="00C70194"/>
    <w:rsid w:val="00C7101D"/>
    <w:rsid w:val="00C715F5"/>
    <w:rsid w:val="00C71A08"/>
    <w:rsid w:val="00C723C8"/>
    <w:rsid w:val="00C73EAD"/>
    <w:rsid w:val="00C73FFD"/>
    <w:rsid w:val="00C74A5D"/>
    <w:rsid w:val="00C778D9"/>
    <w:rsid w:val="00C807E3"/>
    <w:rsid w:val="00C81C5C"/>
    <w:rsid w:val="00C82ED5"/>
    <w:rsid w:val="00C8527D"/>
    <w:rsid w:val="00C9095C"/>
    <w:rsid w:val="00C90A2F"/>
    <w:rsid w:val="00C90B24"/>
    <w:rsid w:val="00C9114E"/>
    <w:rsid w:val="00C95BA0"/>
    <w:rsid w:val="00C95C0D"/>
    <w:rsid w:val="00C95D62"/>
    <w:rsid w:val="00C96E4A"/>
    <w:rsid w:val="00CA19E8"/>
    <w:rsid w:val="00CA25AD"/>
    <w:rsid w:val="00CA25BD"/>
    <w:rsid w:val="00CA2F46"/>
    <w:rsid w:val="00CA5E95"/>
    <w:rsid w:val="00CA6700"/>
    <w:rsid w:val="00CA6B29"/>
    <w:rsid w:val="00CA6EB6"/>
    <w:rsid w:val="00CB0DA6"/>
    <w:rsid w:val="00CB33BE"/>
    <w:rsid w:val="00CB661E"/>
    <w:rsid w:val="00CB7886"/>
    <w:rsid w:val="00CB7924"/>
    <w:rsid w:val="00CC0C79"/>
    <w:rsid w:val="00CC16B7"/>
    <w:rsid w:val="00CC23F9"/>
    <w:rsid w:val="00CC2725"/>
    <w:rsid w:val="00CC3A90"/>
    <w:rsid w:val="00CC5E87"/>
    <w:rsid w:val="00CD417D"/>
    <w:rsid w:val="00CD4415"/>
    <w:rsid w:val="00CD462C"/>
    <w:rsid w:val="00CD492F"/>
    <w:rsid w:val="00CD61DB"/>
    <w:rsid w:val="00CD639F"/>
    <w:rsid w:val="00CD7F24"/>
    <w:rsid w:val="00CE7116"/>
    <w:rsid w:val="00CE7BF2"/>
    <w:rsid w:val="00CE7E75"/>
    <w:rsid w:val="00CF1D61"/>
    <w:rsid w:val="00CF249C"/>
    <w:rsid w:val="00CF5DB3"/>
    <w:rsid w:val="00CF6AF5"/>
    <w:rsid w:val="00CF7326"/>
    <w:rsid w:val="00D0355A"/>
    <w:rsid w:val="00D03947"/>
    <w:rsid w:val="00D041EF"/>
    <w:rsid w:val="00D04960"/>
    <w:rsid w:val="00D05565"/>
    <w:rsid w:val="00D06972"/>
    <w:rsid w:val="00D07323"/>
    <w:rsid w:val="00D108BB"/>
    <w:rsid w:val="00D11C59"/>
    <w:rsid w:val="00D135A0"/>
    <w:rsid w:val="00D13A28"/>
    <w:rsid w:val="00D13C57"/>
    <w:rsid w:val="00D152B3"/>
    <w:rsid w:val="00D160E9"/>
    <w:rsid w:val="00D17215"/>
    <w:rsid w:val="00D1794C"/>
    <w:rsid w:val="00D17FA2"/>
    <w:rsid w:val="00D201A5"/>
    <w:rsid w:val="00D203B3"/>
    <w:rsid w:val="00D23BC4"/>
    <w:rsid w:val="00D2444C"/>
    <w:rsid w:val="00D246FF"/>
    <w:rsid w:val="00D25841"/>
    <w:rsid w:val="00D27456"/>
    <w:rsid w:val="00D3218B"/>
    <w:rsid w:val="00D349B5"/>
    <w:rsid w:val="00D40504"/>
    <w:rsid w:val="00D4339C"/>
    <w:rsid w:val="00D450BA"/>
    <w:rsid w:val="00D5029B"/>
    <w:rsid w:val="00D5177E"/>
    <w:rsid w:val="00D5325B"/>
    <w:rsid w:val="00D54B5A"/>
    <w:rsid w:val="00D555FA"/>
    <w:rsid w:val="00D56AD7"/>
    <w:rsid w:val="00D60C5E"/>
    <w:rsid w:val="00D643CA"/>
    <w:rsid w:val="00D66488"/>
    <w:rsid w:val="00D67D14"/>
    <w:rsid w:val="00D70E21"/>
    <w:rsid w:val="00D72D11"/>
    <w:rsid w:val="00D733DC"/>
    <w:rsid w:val="00D73709"/>
    <w:rsid w:val="00D74791"/>
    <w:rsid w:val="00D75512"/>
    <w:rsid w:val="00D75B2F"/>
    <w:rsid w:val="00D77CDC"/>
    <w:rsid w:val="00D807E3"/>
    <w:rsid w:val="00D82F2F"/>
    <w:rsid w:val="00D871DA"/>
    <w:rsid w:val="00D874D9"/>
    <w:rsid w:val="00D87C71"/>
    <w:rsid w:val="00DA2530"/>
    <w:rsid w:val="00DA3BF4"/>
    <w:rsid w:val="00DB1C8C"/>
    <w:rsid w:val="00DB32C6"/>
    <w:rsid w:val="00DB4B28"/>
    <w:rsid w:val="00DB53C8"/>
    <w:rsid w:val="00DB781E"/>
    <w:rsid w:val="00DC0400"/>
    <w:rsid w:val="00DC0DA0"/>
    <w:rsid w:val="00DC12B7"/>
    <w:rsid w:val="00DC15E6"/>
    <w:rsid w:val="00DC3B31"/>
    <w:rsid w:val="00DC5DBA"/>
    <w:rsid w:val="00DC60C8"/>
    <w:rsid w:val="00DC79CB"/>
    <w:rsid w:val="00DD3E9E"/>
    <w:rsid w:val="00DD418D"/>
    <w:rsid w:val="00DD4DC7"/>
    <w:rsid w:val="00DD50ED"/>
    <w:rsid w:val="00DD5EEE"/>
    <w:rsid w:val="00DD7960"/>
    <w:rsid w:val="00DE0599"/>
    <w:rsid w:val="00DE092F"/>
    <w:rsid w:val="00DE4131"/>
    <w:rsid w:val="00DE7226"/>
    <w:rsid w:val="00DE799A"/>
    <w:rsid w:val="00DF0640"/>
    <w:rsid w:val="00DF1AAD"/>
    <w:rsid w:val="00DF2AC4"/>
    <w:rsid w:val="00DF37B5"/>
    <w:rsid w:val="00DF4DF7"/>
    <w:rsid w:val="00DF504D"/>
    <w:rsid w:val="00DF5494"/>
    <w:rsid w:val="00DF5CE3"/>
    <w:rsid w:val="00DF64CD"/>
    <w:rsid w:val="00DF70E6"/>
    <w:rsid w:val="00DF713C"/>
    <w:rsid w:val="00E0053C"/>
    <w:rsid w:val="00E016B3"/>
    <w:rsid w:val="00E047F9"/>
    <w:rsid w:val="00E04D69"/>
    <w:rsid w:val="00E0516F"/>
    <w:rsid w:val="00E06A3B"/>
    <w:rsid w:val="00E06FD2"/>
    <w:rsid w:val="00E1160F"/>
    <w:rsid w:val="00E12214"/>
    <w:rsid w:val="00E15338"/>
    <w:rsid w:val="00E153A7"/>
    <w:rsid w:val="00E15B96"/>
    <w:rsid w:val="00E20027"/>
    <w:rsid w:val="00E203D8"/>
    <w:rsid w:val="00E235D4"/>
    <w:rsid w:val="00E2369A"/>
    <w:rsid w:val="00E23F8A"/>
    <w:rsid w:val="00E2686A"/>
    <w:rsid w:val="00E3305E"/>
    <w:rsid w:val="00E344BC"/>
    <w:rsid w:val="00E34F69"/>
    <w:rsid w:val="00E427E7"/>
    <w:rsid w:val="00E44E8F"/>
    <w:rsid w:val="00E454F4"/>
    <w:rsid w:val="00E47A3D"/>
    <w:rsid w:val="00E568D5"/>
    <w:rsid w:val="00E57504"/>
    <w:rsid w:val="00E6253D"/>
    <w:rsid w:val="00E63A6E"/>
    <w:rsid w:val="00E64540"/>
    <w:rsid w:val="00E71881"/>
    <w:rsid w:val="00E72EF7"/>
    <w:rsid w:val="00E739FE"/>
    <w:rsid w:val="00E740AB"/>
    <w:rsid w:val="00E7599D"/>
    <w:rsid w:val="00E76433"/>
    <w:rsid w:val="00E77B3D"/>
    <w:rsid w:val="00E81738"/>
    <w:rsid w:val="00E841AB"/>
    <w:rsid w:val="00E8602B"/>
    <w:rsid w:val="00E8638A"/>
    <w:rsid w:val="00E877C4"/>
    <w:rsid w:val="00E9087E"/>
    <w:rsid w:val="00E91BFD"/>
    <w:rsid w:val="00E93907"/>
    <w:rsid w:val="00E94F86"/>
    <w:rsid w:val="00E97206"/>
    <w:rsid w:val="00E9799C"/>
    <w:rsid w:val="00EA0291"/>
    <w:rsid w:val="00EA0CD7"/>
    <w:rsid w:val="00EA1B28"/>
    <w:rsid w:val="00EA1C49"/>
    <w:rsid w:val="00EA2C2D"/>
    <w:rsid w:val="00EA3BAE"/>
    <w:rsid w:val="00EB023E"/>
    <w:rsid w:val="00EC027A"/>
    <w:rsid w:val="00EC2C4B"/>
    <w:rsid w:val="00EC3A7B"/>
    <w:rsid w:val="00EC3E5F"/>
    <w:rsid w:val="00EC5D22"/>
    <w:rsid w:val="00EC604B"/>
    <w:rsid w:val="00EC741E"/>
    <w:rsid w:val="00ED14F5"/>
    <w:rsid w:val="00ED5900"/>
    <w:rsid w:val="00EE0D7F"/>
    <w:rsid w:val="00EE1551"/>
    <w:rsid w:val="00EE1B00"/>
    <w:rsid w:val="00EE1B05"/>
    <w:rsid w:val="00EE37AF"/>
    <w:rsid w:val="00EE3998"/>
    <w:rsid w:val="00EE3EDE"/>
    <w:rsid w:val="00EE7929"/>
    <w:rsid w:val="00EF0FFE"/>
    <w:rsid w:val="00EF1B0F"/>
    <w:rsid w:val="00EF1C1F"/>
    <w:rsid w:val="00EF28A1"/>
    <w:rsid w:val="00EF42C7"/>
    <w:rsid w:val="00EF500B"/>
    <w:rsid w:val="00EF535D"/>
    <w:rsid w:val="00EF6043"/>
    <w:rsid w:val="00EF77D4"/>
    <w:rsid w:val="00EF7BDC"/>
    <w:rsid w:val="00F025A4"/>
    <w:rsid w:val="00F0415B"/>
    <w:rsid w:val="00F0472F"/>
    <w:rsid w:val="00F0665C"/>
    <w:rsid w:val="00F077DA"/>
    <w:rsid w:val="00F1180E"/>
    <w:rsid w:val="00F15E07"/>
    <w:rsid w:val="00F2035F"/>
    <w:rsid w:val="00F21B49"/>
    <w:rsid w:val="00F23089"/>
    <w:rsid w:val="00F23F1C"/>
    <w:rsid w:val="00F34BFD"/>
    <w:rsid w:val="00F35D1B"/>
    <w:rsid w:val="00F361C3"/>
    <w:rsid w:val="00F41C24"/>
    <w:rsid w:val="00F425FF"/>
    <w:rsid w:val="00F4306C"/>
    <w:rsid w:val="00F4593B"/>
    <w:rsid w:val="00F45C91"/>
    <w:rsid w:val="00F546AD"/>
    <w:rsid w:val="00F55D68"/>
    <w:rsid w:val="00F5671E"/>
    <w:rsid w:val="00F612F2"/>
    <w:rsid w:val="00F6428A"/>
    <w:rsid w:val="00F67803"/>
    <w:rsid w:val="00F679B2"/>
    <w:rsid w:val="00F7042B"/>
    <w:rsid w:val="00F7184B"/>
    <w:rsid w:val="00F734D0"/>
    <w:rsid w:val="00F746AF"/>
    <w:rsid w:val="00F75463"/>
    <w:rsid w:val="00F84748"/>
    <w:rsid w:val="00F84CF3"/>
    <w:rsid w:val="00F86864"/>
    <w:rsid w:val="00F875A9"/>
    <w:rsid w:val="00F913DD"/>
    <w:rsid w:val="00F929EC"/>
    <w:rsid w:val="00F92A47"/>
    <w:rsid w:val="00F94AEB"/>
    <w:rsid w:val="00F94B02"/>
    <w:rsid w:val="00F95E03"/>
    <w:rsid w:val="00F96CDC"/>
    <w:rsid w:val="00F974B7"/>
    <w:rsid w:val="00F97790"/>
    <w:rsid w:val="00FA1FB1"/>
    <w:rsid w:val="00FA2D16"/>
    <w:rsid w:val="00FA2F50"/>
    <w:rsid w:val="00FA3A94"/>
    <w:rsid w:val="00FA7369"/>
    <w:rsid w:val="00FA75B2"/>
    <w:rsid w:val="00FA79C7"/>
    <w:rsid w:val="00FB27BA"/>
    <w:rsid w:val="00FB27EE"/>
    <w:rsid w:val="00FB3EA2"/>
    <w:rsid w:val="00FB498C"/>
    <w:rsid w:val="00FB54B3"/>
    <w:rsid w:val="00FC192E"/>
    <w:rsid w:val="00FC3227"/>
    <w:rsid w:val="00FD31EA"/>
    <w:rsid w:val="00FD3257"/>
    <w:rsid w:val="00FD579B"/>
    <w:rsid w:val="00FD7D4A"/>
    <w:rsid w:val="00FE0D95"/>
    <w:rsid w:val="00FE1756"/>
    <w:rsid w:val="00FE35AD"/>
    <w:rsid w:val="00FE3836"/>
    <w:rsid w:val="00FE457D"/>
    <w:rsid w:val="00FE5003"/>
    <w:rsid w:val="00FE7EA8"/>
    <w:rsid w:val="00FF0654"/>
    <w:rsid w:val="00FF1CD7"/>
    <w:rsid w:val="00FF5471"/>
    <w:rsid w:val="00FF75DE"/>
    <w:rsid w:val="00FF7D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72"/>
  </w:style>
  <w:style w:type="paragraph" w:styleId="Ttulo2">
    <w:name w:val="heading 2"/>
    <w:basedOn w:val="Normal"/>
    <w:next w:val="Normal"/>
    <w:link w:val="Ttulo2Car"/>
    <w:autoRedefine/>
    <w:uiPriority w:val="9"/>
    <w:semiHidden/>
    <w:unhideWhenUsed/>
    <w:qFormat/>
    <w:rsid w:val="00232325"/>
    <w:pPr>
      <w:keepNext/>
      <w:pBdr>
        <w:top w:val="single" w:sz="4" w:space="11" w:color="auto"/>
      </w:pBdr>
      <w:spacing w:before="240" w:after="240" w:line="240" w:lineRule="auto"/>
      <w:outlineLvl w:val="1"/>
    </w:pPr>
    <w:rPr>
      <w:rFonts w:ascii="Arial" w:eastAsia="Times New Roman" w:hAnsi="Arial" w:cs="Times New Roman"/>
      <w:b/>
      <w:cap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B2525"/>
    <w:pPr>
      <w:ind w:left="720"/>
      <w:contextualSpacing/>
    </w:pPr>
  </w:style>
  <w:style w:type="table" w:styleId="Tablaconcuadrcula">
    <w:name w:val="Table Grid"/>
    <w:basedOn w:val="Tablanormal"/>
    <w:uiPriority w:val="59"/>
    <w:rsid w:val="005D1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12EE8"/>
    <w:rPr>
      <w:color w:val="0563C1" w:themeColor="hyperlink"/>
      <w:u w:val="single"/>
    </w:rPr>
  </w:style>
  <w:style w:type="character" w:customStyle="1" w:styleId="Ttulo2Car">
    <w:name w:val="Título 2 Car"/>
    <w:basedOn w:val="Fuentedeprrafopredeter"/>
    <w:link w:val="Ttulo2"/>
    <w:uiPriority w:val="9"/>
    <w:semiHidden/>
    <w:rsid w:val="00232325"/>
    <w:rPr>
      <w:rFonts w:ascii="Arial" w:eastAsia="Times New Roman" w:hAnsi="Arial" w:cs="Times New Roman"/>
      <w:b/>
      <w:caps/>
      <w:sz w:val="24"/>
      <w:szCs w:val="26"/>
      <w:lang w:val="es-ES"/>
    </w:rPr>
  </w:style>
  <w:style w:type="character" w:customStyle="1" w:styleId="PrrafodelistaCar">
    <w:name w:val="Párrafo de lista Car"/>
    <w:basedOn w:val="Fuentedeprrafopredeter"/>
    <w:link w:val="Prrafodelista"/>
    <w:uiPriority w:val="34"/>
    <w:locked/>
    <w:rsid w:val="00232325"/>
  </w:style>
  <w:style w:type="paragraph" w:customStyle="1" w:styleId="Bullet2">
    <w:name w:val="Bullet 2"/>
    <w:basedOn w:val="Prrafodelista"/>
    <w:rsid w:val="00232325"/>
    <w:pPr>
      <w:numPr>
        <w:numId w:val="22"/>
      </w:numPr>
      <w:spacing w:after="240" w:line="240" w:lineRule="auto"/>
      <w:ind w:firstLine="0"/>
      <w:jc w:val="both"/>
    </w:pPr>
    <w:rPr>
      <w:rFonts w:ascii="Arial" w:hAnsi="Arial"/>
      <w:sz w:val="20"/>
    </w:rPr>
  </w:style>
  <w:style w:type="character" w:customStyle="1" w:styleId="H1Char">
    <w:name w:val="H1 Char"/>
    <w:basedOn w:val="Fuentedeprrafopredeter"/>
    <w:link w:val="H1"/>
    <w:locked/>
    <w:rsid w:val="00232325"/>
    <w:rPr>
      <w:rFonts w:ascii="Arial" w:hAnsi="Arial" w:cs="Times New Roman"/>
      <w:b/>
      <w:sz w:val="40"/>
      <w:szCs w:val="52"/>
    </w:rPr>
  </w:style>
  <w:style w:type="paragraph" w:customStyle="1" w:styleId="H1">
    <w:name w:val="H1"/>
    <w:basedOn w:val="Normal"/>
    <w:link w:val="H1Char"/>
    <w:qFormat/>
    <w:rsid w:val="00232325"/>
    <w:pPr>
      <w:spacing w:before="360" w:after="240" w:line="240" w:lineRule="auto"/>
      <w:outlineLvl w:val="0"/>
    </w:pPr>
    <w:rPr>
      <w:rFonts w:ascii="Arial" w:hAnsi="Arial" w:cs="Times New Roman"/>
      <w:b/>
      <w:sz w:val="40"/>
      <w:szCs w:val="52"/>
    </w:rPr>
  </w:style>
  <w:style w:type="paragraph" w:customStyle="1" w:styleId="BulletTableau">
    <w:name w:val="Bullet Tableau"/>
    <w:basedOn w:val="Bullet2"/>
    <w:qFormat/>
    <w:rsid w:val="00232325"/>
    <w:pPr>
      <w:numPr>
        <w:numId w:val="23"/>
      </w:numPr>
      <w:ind w:left="720" w:firstLine="0"/>
    </w:pPr>
  </w:style>
  <w:style w:type="table" w:customStyle="1" w:styleId="TableGray">
    <w:name w:val="Table Gray"/>
    <w:basedOn w:val="Tablanormal"/>
    <w:uiPriority w:val="99"/>
    <w:rsid w:val="00232325"/>
    <w:pPr>
      <w:spacing w:after="0" w:line="240" w:lineRule="auto"/>
    </w:pPr>
    <w:rPr>
      <w:rFonts w:eastAsiaTheme="minorEastAsia" w:cs="Times New Roman"/>
      <w:sz w:val="20"/>
      <w:szCs w:val="20"/>
    </w:rPr>
    <w:tblPr>
      <w:tblInd w:w="0" w:type="dxa"/>
      <w:tblCellMar>
        <w:top w:w="142" w:type="dxa"/>
        <w:left w:w="142" w:type="dxa"/>
        <w:bottom w:w="142" w:type="dxa"/>
        <w:right w:w="142" w:type="dxa"/>
      </w:tblCellMar>
    </w:tblPr>
    <w:tcPr>
      <w:shd w:val="clear" w:color="auto" w:fill="D9D9D9" w:themeFill="background1" w:themeFillShade="D9"/>
    </w:tcPr>
  </w:style>
  <w:style w:type="paragraph" w:styleId="Textodeglobo">
    <w:name w:val="Balloon Text"/>
    <w:basedOn w:val="Normal"/>
    <w:link w:val="TextodegloboCar"/>
    <w:uiPriority w:val="99"/>
    <w:semiHidden/>
    <w:unhideWhenUsed/>
    <w:rsid w:val="009120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20C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2204707">
      <w:bodyDiv w:val="1"/>
      <w:marLeft w:val="0"/>
      <w:marRight w:val="0"/>
      <w:marTop w:val="0"/>
      <w:marBottom w:val="0"/>
      <w:divBdr>
        <w:top w:val="none" w:sz="0" w:space="0" w:color="auto"/>
        <w:left w:val="none" w:sz="0" w:space="0" w:color="auto"/>
        <w:bottom w:val="none" w:sz="0" w:space="0" w:color="auto"/>
        <w:right w:val="none" w:sz="0" w:space="0" w:color="auto"/>
      </w:divBdr>
    </w:div>
    <w:div w:id="926428794">
      <w:bodyDiv w:val="1"/>
      <w:marLeft w:val="0"/>
      <w:marRight w:val="0"/>
      <w:marTop w:val="0"/>
      <w:marBottom w:val="0"/>
      <w:divBdr>
        <w:top w:val="none" w:sz="0" w:space="0" w:color="auto"/>
        <w:left w:val="none" w:sz="0" w:space="0" w:color="auto"/>
        <w:bottom w:val="none" w:sz="0" w:space="0" w:color="auto"/>
        <w:right w:val="none" w:sz="0" w:space="0" w:color="auto"/>
      </w:divBdr>
      <w:divsChild>
        <w:div w:id="1938249574">
          <w:marLeft w:val="0"/>
          <w:marRight w:val="0"/>
          <w:marTop w:val="0"/>
          <w:marBottom w:val="0"/>
          <w:divBdr>
            <w:top w:val="none" w:sz="0" w:space="0" w:color="auto"/>
            <w:left w:val="none" w:sz="0" w:space="0" w:color="auto"/>
            <w:bottom w:val="none" w:sz="0" w:space="0" w:color="auto"/>
            <w:right w:val="none" w:sz="0" w:space="0" w:color="auto"/>
          </w:divBdr>
          <w:divsChild>
            <w:div w:id="1238518959">
              <w:marLeft w:val="0"/>
              <w:marRight w:val="0"/>
              <w:marTop w:val="0"/>
              <w:marBottom w:val="0"/>
              <w:divBdr>
                <w:top w:val="none" w:sz="0" w:space="0" w:color="auto"/>
                <w:left w:val="none" w:sz="0" w:space="0" w:color="auto"/>
                <w:bottom w:val="none" w:sz="0" w:space="0" w:color="auto"/>
                <w:right w:val="none" w:sz="0" w:space="0" w:color="auto"/>
              </w:divBdr>
              <w:divsChild>
                <w:div w:id="1005011992">
                  <w:marLeft w:val="0"/>
                  <w:marRight w:val="0"/>
                  <w:marTop w:val="0"/>
                  <w:marBottom w:val="0"/>
                  <w:divBdr>
                    <w:top w:val="none" w:sz="0" w:space="0" w:color="auto"/>
                    <w:left w:val="none" w:sz="0" w:space="0" w:color="auto"/>
                    <w:bottom w:val="none" w:sz="0" w:space="0" w:color="auto"/>
                    <w:right w:val="none" w:sz="0" w:space="0" w:color="auto"/>
                  </w:divBdr>
                </w:div>
                <w:div w:id="2047632521">
                  <w:marLeft w:val="0"/>
                  <w:marRight w:val="0"/>
                  <w:marTop w:val="0"/>
                  <w:marBottom w:val="0"/>
                  <w:divBdr>
                    <w:top w:val="none" w:sz="0" w:space="0" w:color="auto"/>
                    <w:left w:val="none" w:sz="0" w:space="0" w:color="auto"/>
                    <w:bottom w:val="none" w:sz="0" w:space="0" w:color="auto"/>
                    <w:right w:val="none" w:sz="0" w:space="0" w:color="auto"/>
                  </w:divBdr>
                </w:div>
                <w:div w:id="1906910697">
                  <w:marLeft w:val="0"/>
                  <w:marRight w:val="0"/>
                  <w:marTop w:val="0"/>
                  <w:marBottom w:val="0"/>
                  <w:divBdr>
                    <w:top w:val="none" w:sz="0" w:space="0" w:color="auto"/>
                    <w:left w:val="none" w:sz="0" w:space="0" w:color="auto"/>
                    <w:bottom w:val="none" w:sz="0" w:space="0" w:color="auto"/>
                    <w:right w:val="none" w:sz="0" w:space="0" w:color="auto"/>
                  </w:divBdr>
                </w:div>
                <w:div w:id="1664509405">
                  <w:marLeft w:val="0"/>
                  <w:marRight w:val="0"/>
                  <w:marTop w:val="0"/>
                  <w:marBottom w:val="0"/>
                  <w:divBdr>
                    <w:top w:val="none" w:sz="0" w:space="0" w:color="auto"/>
                    <w:left w:val="none" w:sz="0" w:space="0" w:color="auto"/>
                    <w:bottom w:val="none" w:sz="0" w:space="0" w:color="auto"/>
                    <w:right w:val="none" w:sz="0" w:space="0" w:color="auto"/>
                  </w:divBdr>
                </w:div>
                <w:div w:id="67197846">
                  <w:marLeft w:val="0"/>
                  <w:marRight w:val="0"/>
                  <w:marTop w:val="0"/>
                  <w:marBottom w:val="0"/>
                  <w:divBdr>
                    <w:top w:val="none" w:sz="0" w:space="0" w:color="auto"/>
                    <w:left w:val="none" w:sz="0" w:space="0" w:color="auto"/>
                    <w:bottom w:val="none" w:sz="0" w:space="0" w:color="auto"/>
                    <w:right w:val="none" w:sz="0" w:space="0" w:color="auto"/>
                  </w:divBdr>
                </w:div>
                <w:div w:id="1018656997">
                  <w:marLeft w:val="0"/>
                  <w:marRight w:val="0"/>
                  <w:marTop w:val="0"/>
                  <w:marBottom w:val="0"/>
                  <w:divBdr>
                    <w:top w:val="none" w:sz="0" w:space="0" w:color="auto"/>
                    <w:left w:val="none" w:sz="0" w:space="0" w:color="auto"/>
                    <w:bottom w:val="none" w:sz="0" w:space="0" w:color="auto"/>
                    <w:right w:val="none" w:sz="0" w:space="0" w:color="auto"/>
                  </w:divBdr>
                </w:div>
                <w:div w:id="375467239">
                  <w:marLeft w:val="0"/>
                  <w:marRight w:val="0"/>
                  <w:marTop w:val="0"/>
                  <w:marBottom w:val="0"/>
                  <w:divBdr>
                    <w:top w:val="none" w:sz="0" w:space="0" w:color="auto"/>
                    <w:left w:val="none" w:sz="0" w:space="0" w:color="auto"/>
                    <w:bottom w:val="none" w:sz="0" w:space="0" w:color="auto"/>
                    <w:right w:val="none" w:sz="0" w:space="0" w:color="auto"/>
                  </w:divBdr>
                </w:div>
                <w:div w:id="946160380">
                  <w:marLeft w:val="0"/>
                  <w:marRight w:val="0"/>
                  <w:marTop w:val="0"/>
                  <w:marBottom w:val="0"/>
                  <w:divBdr>
                    <w:top w:val="none" w:sz="0" w:space="0" w:color="auto"/>
                    <w:left w:val="none" w:sz="0" w:space="0" w:color="auto"/>
                    <w:bottom w:val="none" w:sz="0" w:space="0" w:color="auto"/>
                    <w:right w:val="none" w:sz="0" w:space="0" w:color="auto"/>
                  </w:divBdr>
                </w:div>
                <w:div w:id="1328367667">
                  <w:marLeft w:val="0"/>
                  <w:marRight w:val="0"/>
                  <w:marTop w:val="0"/>
                  <w:marBottom w:val="0"/>
                  <w:divBdr>
                    <w:top w:val="none" w:sz="0" w:space="0" w:color="auto"/>
                    <w:left w:val="none" w:sz="0" w:space="0" w:color="auto"/>
                    <w:bottom w:val="none" w:sz="0" w:space="0" w:color="auto"/>
                    <w:right w:val="none" w:sz="0" w:space="0" w:color="auto"/>
                  </w:divBdr>
                </w:div>
                <w:div w:id="1511286648">
                  <w:marLeft w:val="0"/>
                  <w:marRight w:val="0"/>
                  <w:marTop w:val="0"/>
                  <w:marBottom w:val="0"/>
                  <w:divBdr>
                    <w:top w:val="none" w:sz="0" w:space="0" w:color="auto"/>
                    <w:left w:val="none" w:sz="0" w:space="0" w:color="auto"/>
                    <w:bottom w:val="none" w:sz="0" w:space="0" w:color="auto"/>
                    <w:right w:val="none" w:sz="0" w:space="0" w:color="auto"/>
                  </w:divBdr>
                </w:div>
                <w:div w:id="546331638">
                  <w:marLeft w:val="0"/>
                  <w:marRight w:val="0"/>
                  <w:marTop w:val="0"/>
                  <w:marBottom w:val="0"/>
                  <w:divBdr>
                    <w:top w:val="none" w:sz="0" w:space="0" w:color="auto"/>
                    <w:left w:val="none" w:sz="0" w:space="0" w:color="auto"/>
                    <w:bottom w:val="none" w:sz="0" w:space="0" w:color="auto"/>
                    <w:right w:val="none" w:sz="0" w:space="0" w:color="auto"/>
                  </w:divBdr>
                </w:div>
                <w:div w:id="71781508">
                  <w:marLeft w:val="0"/>
                  <w:marRight w:val="0"/>
                  <w:marTop w:val="0"/>
                  <w:marBottom w:val="0"/>
                  <w:divBdr>
                    <w:top w:val="none" w:sz="0" w:space="0" w:color="auto"/>
                    <w:left w:val="none" w:sz="0" w:space="0" w:color="auto"/>
                    <w:bottom w:val="none" w:sz="0" w:space="0" w:color="auto"/>
                    <w:right w:val="none" w:sz="0" w:space="0" w:color="auto"/>
                  </w:divBdr>
                </w:div>
                <w:div w:id="4596876">
                  <w:marLeft w:val="0"/>
                  <w:marRight w:val="0"/>
                  <w:marTop w:val="0"/>
                  <w:marBottom w:val="0"/>
                  <w:divBdr>
                    <w:top w:val="none" w:sz="0" w:space="0" w:color="auto"/>
                    <w:left w:val="none" w:sz="0" w:space="0" w:color="auto"/>
                    <w:bottom w:val="none" w:sz="0" w:space="0" w:color="auto"/>
                    <w:right w:val="none" w:sz="0" w:space="0" w:color="auto"/>
                  </w:divBdr>
                </w:div>
                <w:div w:id="539980848">
                  <w:marLeft w:val="0"/>
                  <w:marRight w:val="0"/>
                  <w:marTop w:val="0"/>
                  <w:marBottom w:val="0"/>
                  <w:divBdr>
                    <w:top w:val="none" w:sz="0" w:space="0" w:color="auto"/>
                    <w:left w:val="none" w:sz="0" w:space="0" w:color="auto"/>
                    <w:bottom w:val="none" w:sz="0" w:space="0" w:color="auto"/>
                    <w:right w:val="none" w:sz="0" w:space="0" w:color="auto"/>
                  </w:divBdr>
                </w:div>
                <w:div w:id="190194287">
                  <w:marLeft w:val="0"/>
                  <w:marRight w:val="0"/>
                  <w:marTop w:val="0"/>
                  <w:marBottom w:val="0"/>
                  <w:divBdr>
                    <w:top w:val="none" w:sz="0" w:space="0" w:color="auto"/>
                    <w:left w:val="none" w:sz="0" w:space="0" w:color="auto"/>
                    <w:bottom w:val="none" w:sz="0" w:space="0" w:color="auto"/>
                    <w:right w:val="none" w:sz="0" w:space="0" w:color="auto"/>
                  </w:divBdr>
                </w:div>
                <w:div w:id="2090224127">
                  <w:marLeft w:val="0"/>
                  <w:marRight w:val="0"/>
                  <w:marTop w:val="0"/>
                  <w:marBottom w:val="0"/>
                  <w:divBdr>
                    <w:top w:val="none" w:sz="0" w:space="0" w:color="auto"/>
                    <w:left w:val="none" w:sz="0" w:space="0" w:color="auto"/>
                    <w:bottom w:val="none" w:sz="0" w:space="0" w:color="auto"/>
                    <w:right w:val="none" w:sz="0" w:space="0" w:color="auto"/>
                  </w:divBdr>
                </w:div>
                <w:div w:id="1643346408">
                  <w:marLeft w:val="0"/>
                  <w:marRight w:val="0"/>
                  <w:marTop w:val="0"/>
                  <w:marBottom w:val="0"/>
                  <w:divBdr>
                    <w:top w:val="none" w:sz="0" w:space="0" w:color="auto"/>
                    <w:left w:val="none" w:sz="0" w:space="0" w:color="auto"/>
                    <w:bottom w:val="none" w:sz="0" w:space="0" w:color="auto"/>
                    <w:right w:val="none" w:sz="0" w:space="0" w:color="auto"/>
                  </w:divBdr>
                </w:div>
                <w:div w:id="1619337745">
                  <w:marLeft w:val="0"/>
                  <w:marRight w:val="0"/>
                  <w:marTop w:val="0"/>
                  <w:marBottom w:val="0"/>
                  <w:divBdr>
                    <w:top w:val="none" w:sz="0" w:space="0" w:color="auto"/>
                    <w:left w:val="none" w:sz="0" w:space="0" w:color="auto"/>
                    <w:bottom w:val="none" w:sz="0" w:space="0" w:color="auto"/>
                    <w:right w:val="none" w:sz="0" w:space="0" w:color="auto"/>
                  </w:divBdr>
                </w:div>
                <w:div w:id="2140220699">
                  <w:marLeft w:val="0"/>
                  <w:marRight w:val="0"/>
                  <w:marTop w:val="0"/>
                  <w:marBottom w:val="0"/>
                  <w:divBdr>
                    <w:top w:val="none" w:sz="0" w:space="0" w:color="auto"/>
                    <w:left w:val="none" w:sz="0" w:space="0" w:color="auto"/>
                    <w:bottom w:val="none" w:sz="0" w:space="0" w:color="auto"/>
                    <w:right w:val="none" w:sz="0" w:space="0" w:color="auto"/>
                  </w:divBdr>
                </w:div>
                <w:div w:id="2099591738">
                  <w:marLeft w:val="0"/>
                  <w:marRight w:val="0"/>
                  <w:marTop w:val="0"/>
                  <w:marBottom w:val="0"/>
                  <w:divBdr>
                    <w:top w:val="none" w:sz="0" w:space="0" w:color="auto"/>
                    <w:left w:val="none" w:sz="0" w:space="0" w:color="auto"/>
                    <w:bottom w:val="none" w:sz="0" w:space="0" w:color="auto"/>
                    <w:right w:val="none" w:sz="0" w:space="0" w:color="auto"/>
                  </w:divBdr>
                </w:div>
                <w:div w:id="1583492490">
                  <w:marLeft w:val="0"/>
                  <w:marRight w:val="0"/>
                  <w:marTop w:val="0"/>
                  <w:marBottom w:val="0"/>
                  <w:divBdr>
                    <w:top w:val="none" w:sz="0" w:space="0" w:color="auto"/>
                    <w:left w:val="none" w:sz="0" w:space="0" w:color="auto"/>
                    <w:bottom w:val="none" w:sz="0" w:space="0" w:color="auto"/>
                    <w:right w:val="none" w:sz="0" w:space="0" w:color="auto"/>
                  </w:divBdr>
                </w:div>
                <w:div w:id="400912867">
                  <w:marLeft w:val="0"/>
                  <w:marRight w:val="0"/>
                  <w:marTop w:val="0"/>
                  <w:marBottom w:val="0"/>
                  <w:divBdr>
                    <w:top w:val="none" w:sz="0" w:space="0" w:color="auto"/>
                    <w:left w:val="none" w:sz="0" w:space="0" w:color="auto"/>
                    <w:bottom w:val="none" w:sz="0" w:space="0" w:color="auto"/>
                    <w:right w:val="none" w:sz="0" w:space="0" w:color="auto"/>
                  </w:divBdr>
                </w:div>
                <w:div w:id="885793137">
                  <w:marLeft w:val="0"/>
                  <w:marRight w:val="0"/>
                  <w:marTop w:val="0"/>
                  <w:marBottom w:val="0"/>
                  <w:divBdr>
                    <w:top w:val="none" w:sz="0" w:space="0" w:color="auto"/>
                    <w:left w:val="none" w:sz="0" w:space="0" w:color="auto"/>
                    <w:bottom w:val="none" w:sz="0" w:space="0" w:color="auto"/>
                    <w:right w:val="none" w:sz="0" w:space="0" w:color="auto"/>
                  </w:divBdr>
                </w:div>
                <w:div w:id="2118910085">
                  <w:marLeft w:val="0"/>
                  <w:marRight w:val="0"/>
                  <w:marTop w:val="0"/>
                  <w:marBottom w:val="0"/>
                  <w:divBdr>
                    <w:top w:val="none" w:sz="0" w:space="0" w:color="auto"/>
                    <w:left w:val="none" w:sz="0" w:space="0" w:color="auto"/>
                    <w:bottom w:val="none" w:sz="0" w:space="0" w:color="auto"/>
                    <w:right w:val="none" w:sz="0" w:space="0" w:color="auto"/>
                  </w:divBdr>
                </w:div>
                <w:div w:id="1943031316">
                  <w:marLeft w:val="0"/>
                  <w:marRight w:val="0"/>
                  <w:marTop w:val="0"/>
                  <w:marBottom w:val="0"/>
                  <w:divBdr>
                    <w:top w:val="none" w:sz="0" w:space="0" w:color="auto"/>
                    <w:left w:val="none" w:sz="0" w:space="0" w:color="auto"/>
                    <w:bottom w:val="none" w:sz="0" w:space="0" w:color="auto"/>
                    <w:right w:val="none" w:sz="0" w:space="0" w:color="auto"/>
                  </w:divBdr>
                </w:div>
                <w:div w:id="61677888">
                  <w:marLeft w:val="0"/>
                  <w:marRight w:val="0"/>
                  <w:marTop w:val="0"/>
                  <w:marBottom w:val="0"/>
                  <w:divBdr>
                    <w:top w:val="none" w:sz="0" w:space="0" w:color="auto"/>
                    <w:left w:val="none" w:sz="0" w:space="0" w:color="auto"/>
                    <w:bottom w:val="none" w:sz="0" w:space="0" w:color="auto"/>
                    <w:right w:val="none" w:sz="0" w:space="0" w:color="auto"/>
                  </w:divBdr>
                </w:div>
                <w:div w:id="616106839">
                  <w:marLeft w:val="0"/>
                  <w:marRight w:val="0"/>
                  <w:marTop w:val="0"/>
                  <w:marBottom w:val="0"/>
                  <w:divBdr>
                    <w:top w:val="none" w:sz="0" w:space="0" w:color="auto"/>
                    <w:left w:val="none" w:sz="0" w:space="0" w:color="auto"/>
                    <w:bottom w:val="none" w:sz="0" w:space="0" w:color="auto"/>
                    <w:right w:val="none" w:sz="0" w:space="0" w:color="auto"/>
                  </w:divBdr>
                </w:div>
                <w:div w:id="617375842">
                  <w:marLeft w:val="0"/>
                  <w:marRight w:val="0"/>
                  <w:marTop w:val="0"/>
                  <w:marBottom w:val="0"/>
                  <w:divBdr>
                    <w:top w:val="none" w:sz="0" w:space="0" w:color="auto"/>
                    <w:left w:val="none" w:sz="0" w:space="0" w:color="auto"/>
                    <w:bottom w:val="none" w:sz="0" w:space="0" w:color="auto"/>
                    <w:right w:val="none" w:sz="0" w:space="0" w:color="auto"/>
                  </w:divBdr>
                </w:div>
                <w:div w:id="703872898">
                  <w:marLeft w:val="0"/>
                  <w:marRight w:val="0"/>
                  <w:marTop w:val="0"/>
                  <w:marBottom w:val="0"/>
                  <w:divBdr>
                    <w:top w:val="none" w:sz="0" w:space="0" w:color="auto"/>
                    <w:left w:val="none" w:sz="0" w:space="0" w:color="auto"/>
                    <w:bottom w:val="none" w:sz="0" w:space="0" w:color="auto"/>
                    <w:right w:val="none" w:sz="0" w:space="0" w:color="auto"/>
                  </w:divBdr>
                </w:div>
                <w:div w:id="173232225">
                  <w:marLeft w:val="0"/>
                  <w:marRight w:val="0"/>
                  <w:marTop w:val="0"/>
                  <w:marBottom w:val="0"/>
                  <w:divBdr>
                    <w:top w:val="none" w:sz="0" w:space="0" w:color="auto"/>
                    <w:left w:val="none" w:sz="0" w:space="0" w:color="auto"/>
                    <w:bottom w:val="none" w:sz="0" w:space="0" w:color="auto"/>
                    <w:right w:val="none" w:sz="0" w:space="0" w:color="auto"/>
                  </w:divBdr>
                </w:div>
                <w:div w:id="900868304">
                  <w:marLeft w:val="0"/>
                  <w:marRight w:val="0"/>
                  <w:marTop w:val="0"/>
                  <w:marBottom w:val="0"/>
                  <w:divBdr>
                    <w:top w:val="none" w:sz="0" w:space="0" w:color="auto"/>
                    <w:left w:val="none" w:sz="0" w:space="0" w:color="auto"/>
                    <w:bottom w:val="none" w:sz="0" w:space="0" w:color="auto"/>
                    <w:right w:val="none" w:sz="0" w:space="0" w:color="auto"/>
                  </w:divBdr>
                </w:div>
                <w:div w:id="1196890209">
                  <w:marLeft w:val="0"/>
                  <w:marRight w:val="0"/>
                  <w:marTop w:val="0"/>
                  <w:marBottom w:val="0"/>
                  <w:divBdr>
                    <w:top w:val="none" w:sz="0" w:space="0" w:color="auto"/>
                    <w:left w:val="none" w:sz="0" w:space="0" w:color="auto"/>
                    <w:bottom w:val="none" w:sz="0" w:space="0" w:color="auto"/>
                    <w:right w:val="none" w:sz="0" w:space="0" w:color="auto"/>
                  </w:divBdr>
                </w:div>
                <w:div w:id="1119757945">
                  <w:marLeft w:val="0"/>
                  <w:marRight w:val="0"/>
                  <w:marTop w:val="0"/>
                  <w:marBottom w:val="0"/>
                  <w:divBdr>
                    <w:top w:val="none" w:sz="0" w:space="0" w:color="auto"/>
                    <w:left w:val="none" w:sz="0" w:space="0" w:color="auto"/>
                    <w:bottom w:val="none" w:sz="0" w:space="0" w:color="auto"/>
                    <w:right w:val="none" w:sz="0" w:space="0" w:color="auto"/>
                  </w:divBdr>
                </w:div>
                <w:div w:id="200476997">
                  <w:marLeft w:val="0"/>
                  <w:marRight w:val="0"/>
                  <w:marTop w:val="0"/>
                  <w:marBottom w:val="0"/>
                  <w:divBdr>
                    <w:top w:val="none" w:sz="0" w:space="0" w:color="auto"/>
                    <w:left w:val="none" w:sz="0" w:space="0" w:color="auto"/>
                    <w:bottom w:val="none" w:sz="0" w:space="0" w:color="auto"/>
                    <w:right w:val="none" w:sz="0" w:space="0" w:color="auto"/>
                  </w:divBdr>
                </w:div>
                <w:div w:id="716006233">
                  <w:marLeft w:val="0"/>
                  <w:marRight w:val="0"/>
                  <w:marTop w:val="0"/>
                  <w:marBottom w:val="0"/>
                  <w:divBdr>
                    <w:top w:val="none" w:sz="0" w:space="0" w:color="auto"/>
                    <w:left w:val="none" w:sz="0" w:space="0" w:color="auto"/>
                    <w:bottom w:val="none" w:sz="0" w:space="0" w:color="auto"/>
                    <w:right w:val="none" w:sz="0" w:space="0" w:color="auto"/>
                  </w:divBdr>
                </w:div>
                <w:div w:id="94785209">
                  <w:marLeft w:val="0"/>
                  <w:marRight w:val="0"/>
                  <w:marTop w:val="0"/>
                  <w:marBottom w:val="0"/>
                  <w:divBdr>
                    <w:top w:val="none" w:sz="0" w:space="0" w:color="auto"/>
                    <w:left w:val="none" w:sz="0" w:space="0" w:color="auto"/>
                    <w:bottom w:val="none" w:sz="0" w:space="0" w:color="auto"/>
                    <w:right w:val="none" w:sz="0" w:space="0" w:color="auto"/>
                  </w:divBdr>
                </w:div>
                <w:div w:id="772940979">
                  <w:marLeft w:val="0"/>
                  <w:marRight w:val="0"/>
                  <w:marTop w:val="0"/>
                  <w:marBottom w:val="0"/>
                  <w:divBdr>
                    <w:top w:val="none" w:sz="0" w:space="0" w:color="auto"/>
                    <w:left w:val="none" w:sz="0" w:space="0" w:color="auto"/>
                    <w:bottom w:val="none" w:sz="0" w:space="0" w:color="auto"/>
                    <w:right w:val="none" w:sz="0" w:space="0" w:color="auto"/>
                  </w:divBdr>
                </w:div>
                <w:div w:id="68231047">
                  <w:marLeft w:val="0"/>
                  <w:marRight w:val="0"/>
                  <w:marTop w:val="0"/>
                  <w:marBottom w:val="0"/>
                  <w:divBdr>
                    <w:top w:val="none" w:sz="0" w:space="0" w:color="auto"/>
                    <w:left w:val="none" w:sz="0" w:space="0" w:color="auto"/>
                    <w:bottom w:val="none" w:sz="0" w:space="0" w:color="auto"/>
                    <w:right w:val="none" w:sz="0" w:space="0" w:color="auto"/>
                  </w:divBdr>
                </w:div>
                <w:div w:id="509609876">
                  <w:marLeft w:val="0"/>
                  <w:marRight w:val="0"/>
                  <w:marTop w:val="0"/>
                  <w:marBottom w:val="0"/>
                  <w:divBdr>
                    <w:top w:val="none" w:sz="0" w:space="0" w:color="auto"/>
                    <w:left w:val="none" w:sz="0" w:space="0" w:color="auto"/>
                    <w:bottom w:val="none" w:sz="0" w:space="0" w:color="auto"/>
                    <w:right w:val="none" w:sz="0" w:space="0" w:color="auto"/>
                  </w:divBdr>
                </w:div>
                <w:div w:id="1060712272">
                  <w:marLeft w:val="0"/>
                  <w:marRight w:val="0"/>
                  <w:marTop w:val="0"/>
                  <w:marBottom w:val="0"/>
                  <w:divBdr>
                    <w:top w:val="none" w:sz="0" w:space="0" w:color="auto"/>
                    <w:left w:val="none" w:sz="0" w:space="0" w:color="auto"/>
                    <w:bottom w:val="none" w:sz="0" w:space="0" w:color="auto"/>
                    <w:right w:val="none" w:sz="0" w:space="0" w:color="auto"/>
                  </w:divBdr>
                </w:div>
                <w:div w:id="771903238">
                  <w:marLeft w:val="0"/>
                  <w:marRight w:val="0"/>
                  <w:marTop w:val="0"/>
                  <w:marBottom w:val="0"/>
                  <w:divBdr>
                    <w:top w:val="none" w:sz="0" w:space="0" w:color="auto"/>
                    <w:left w:val="none" w:sz="0" w:space="0" w:color="auto"/>
                    <w:bottom w:val="none" w:sz="0" w:space="0" w:color="auto"/>
                    <w:right w:val="none" w:sz="0" w:space="0" w:color="auto"/>
                  </w:divBdr>
                </w:div>
                <w:div w:id="834228314">
                  <w:marLeft w:val="0"/>
                  <w:marRight w:val="0"/>
                  <w:marTop w:val="0"/>
                  <w:marBottom w:val="0"/>
                  <w:divBdr>
                    <w:top w:val="none" w:sz="0" w:space="0" w:color="auto"/>
                    <w:left w:val="none" w:sz="0" w:space="0" w:color="auto"/>
                    <w:bottom w:val="none" w:sz="0" w:space="0" w:color="auto"/>
                    <w:right w:val="none" w:sz="0" w:space="0" w:color="auto"/>
                  </w:divBdr>
                </w:div>
                <w:div w:id="559369929">
                  <w:marLeft w:val="0"/>
                  <w:marRight w:val="0"/>
                  <w:marTop w:val="0"/>
                  <w:marBottom w:val="0"/>
                  <w:divBdr>
                    <w:top w:val="none" w:sz="0" w:space="0" w:color="auto"/>
                    <w:left w:val="none" w:sz="0" w:space="0" w:color="auto"/>
                    <w:bottom w:val="none" w:sz="0" w:space="0" w:color="auto"/>
                    <w:right w:val="none" w:sz="0" w:space="0" w:color="auto"/>
                  </w:divBdr>
                </w:div>
                <w:div w:id="407845570">
                  <w:marLeft w:val="0"/>
                  <w:marRight w:val="0"/>
                  <w:marTop w:val="0"/>
                  <w:marBottom w:val="0"/>
                  <w:divBdr>
                    <w:top w:val="none" w:sz="0" w:space="0" w:color="auto"/>
                    <w:left w:val="none" w:sz="0" w:space="0" w:color="auto"/>
                    <w:bottom w:val="none" w:sz="0" w:space="0" w:color="auto"/>
                    <w:right w:val="none" w:sz="0" w:space="0" w:color="auto"/>
                  </w:divBdr>
                </w:div>
                <w:div w:id="726997490">
                  <w:marLeft w:val="0"/>
                  <w:marRight w:val="0"/>
                  <w:marTop w:val="0"/>
                  <w:marBottom w:val="0"/>
                  <w:divBdr>
                    <w:top w:val="none" w:sz="0" w:space="0" w:color="auto"/>
                    <w:left w:val="none" w:sz="0" w:space="0" w:color="auto"/>
                    <w:bottom w:val="none" w:sz="0" w:space="0" w:color="auto"/>
                    <w:right w:val="none" w:sz="0" w:space="0" w:color="auto"/>
                  </w:divBdr>
                </w:div>
                <w:div w:id="1902591749">
                  <w:marLeft w:val="0"/>
                  <w:marRight w:val="0"/>
                  <w:marTop w:val="0"/>
                  <w:marBottom w:val="0"/>
                  <w:divBdr>
                    <w:top w:val="none" w:sz="0" w:space="0" w:color="auto"/>
                    <w:left w:val="none" w:sz="0" w:space="0" w:color="auto"/>
                    <w:bottom w:val="none" w:sz="0" w:space="0" w:color="auto"/>
                    <w:right w:val="none" w:sz="0" w:space="0" w:color="auto"/>
                  </w:divBdr>
                </w:div>
                <w:div w:id="1254361722">
                  <w:marLeft w:val="0"/>
                  <w:marRight w:val="0"/>
                  <w:marTop w:val="0"/>
                  <w:marBottom w:val="0"/>
                  <w:divBdr>
                    <w:top w:val="none" w:sz="0" w:space="0" w:color="auto"/>
                    <w:left w:val="none" w:sz="0" w:space="0" w:color="auto"/>
                    <w:bottom w:val="none" w:sz="0" w:space="0" w:color="auto"/>
                    <w:right w:val="none" w:sz="0" w:space="0" w:color="auto"/>
                  </w:divBdr>
                </w:div>
                <w:div w:id="1784962169">
                  <w:marLeft w:val="0"/>
                  <w:marRight w:val="0"/>
                  <w:marTop w:val="0"/>
                  <w:marBottom w:val="0"/>
                  <w:divBdr>
                    <w:top w:val="none" w:sz="0" w:space="0" w:color="auto"/>
                    <w:left w:val="none" w:sz="0" w:space="0" w:color="auto"/>
                    <w:bottom w:val="none" w:sz="0" w:space="0" w:color="auto"/>
                    <w:right w:val="none" w:sz="0" w:space="0" w:color="auto"/>
                  </w:divBdr>
                </w:div>
                <w:div w:id="555357787">
                  <w:marLeft w:val="0"/>
                  <w:marRight w:val="0"/>
                  <w:marTop w:val="0"/>
                  <w:marBottom w:val="0"/>
                  <w:divBdr>
                    <w:top w:val="none" w:sz="0" w:space="0" w:color="auto"/>
                    <w:left w:val="none" w:sz="0" w:space="0" w:color="auto"/>
                    <w:bottom w:val="none" w:sz="0" w:space="0" w:color="auto"/>
                    <w:right w:val="none" w:sz="0" w:space="0" w:color="auto"/>
                  </w:divBdr>
                </w:div>
                <w:div w:id="628123859">
                  <w:marLeft w:val="0"/>
                  <w:marRight w:val="0"/>
                  <w:marTop w:val="0"/>
                  <w:marBottom w:val="0"/>
                  <w:divBdr>
                    <w:top w:val="none" w:sz="0" w:space="0" w:color="auto"/>
                    <w:left w:val="none" w:sz="0" w:space="0" w:color="auto"/>
                    <w:bottom w:val="none" w:sz="0" w:space="0" w:color="auto"/>
                    <w:right w:val="none" w:sz="0" w:space="0" w:color="auto"/>
                  </w:divBdr>
                </w:div>
                <w:div w:id="4378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4917">
          <w:marLeft w:val="0"/>
          <w:marRight w:val="0"/>
          <w:marTop w:val="0"/>
          <w:marBottom w:val="0"/>
          <w:divBdr>
            <w:top w:val="none" w:sz="0" w:space="0" w:color="auto"/>
            <w:left w:val="none" w:sz="0" w:space="0" w:color="auto"/>
            <w:bottom w:val="none" w:sz="0" w:space="0" w:color="auto"/>
            <w:right w:val="none" w:sz="0" w:space="0" w:color="auto"/>
          </w:divBdr>
          <w:divsChild>
            <w:div w:id="33386856">
              <w:marLeft w:val="0"/>
              <w:marRight w:val="0"/>
              <w:marTop w:val="0"/>
              <w:marBottom w:val="0"/>
              <w:divBdr>
                <w:top w:val="none" w:sz="0" w:space="0" w:color="auto"/>
                <w:left w:val="none" w:sz="0" w:space="0" w:color="auto"/>
                <w:bottom w:val="none" w:sz="0" w:space="0" w:color="auto"/>
                <w:right w:val="none" w:sz="0" w:space="0" w:color="auto"/>
              </w:divBdr>
            </w:div>
            <w:div w:id="1123159942">
              <w:marLeft w:val="0"/>
              <w:marRight w:val="0"/>
              <w:marTop w:val="0"/>
              <w:marBottom w:val="0"/>
              <w:divBdr>
                <w:top w:val="none" w:sz="0" w:space="0" w:color="auto"/>
                <w:left w:val="none" w:sz="0" w:space="0" w:color="auto"/>
                <w:bottom w:val="none" w:sz="0" w:space="0" w:color="auto"/>
                <w:right w:val="none" w:sz="0" w:space="0" w:color="auto"/>
              </w:divBdr>
            </w:div>
            <w:div w:id="370493071">
              <w:marLeft w:val="0"/>
              <w:marRight w:val="0"/>
              <w:marTop w:val="0"/>
              <w:marBottom w:val="0"/>
              <w:divBdr>
                <w:top w:val="none" w:sz="0" w:space="0" w:color="auto"/>
                <w:left w:val="none" w:sz="0" w:space="0" w:color="auto"/>
                <w:bottom w:val="none" w:sz="0" w:space="0" w:color="auto"/>
                <w:right w:val="none" w:sz="0" w:space="0" w:color="auto"/>
              </w:divBdr>
            </w:div>
            <w:div w:id="1775174537">
              <w:marLeft w:val="0"/>
              <w:marRight w:val="0"/>
              <w:marTop w:val="0"/>
              <w:marBottom w:val="0"/>
              <w:divBdr>
                <w:top w:val="none" w:sz="0" w:space="0" w:color="auto"/>
                <w:left w:val="none" w:sz="0" w:space="0" w:color="auto"/>
                <w:bottom w:val="none" w:sz="0" w:space="0" w:color="auto"/>
                <w:right w:val="none" w:sz="0" w:space="0" w:color="auto"/>
              </w:divBdr>
            </w:div>
            <w:div w:id="887499255">
              <w:marLeft w:val="0"/>
              <w:marRight w:val="0"/>
              <w:marTop w:val="0"/>
              <w:marBottom w:val="0"/>
              <w:divBdr>
                <w:top w:val="none" w:sz="0" w:space="0" w:color="auto"/>
                <w:left w:val="none" w:sz="0" w:space="0" w:color="auto"/>
                <w:bottom w:val="none" w:sz="0" w:space="0" w:color="auto"/>
                <w:right w:val="none" w:sz="0" w:space="0" w:color="auto"/>
              </w:divBdr>
            </w:div>
            <w:div w:id="180121504">
              <w:marLeft w:val="0"/>
              <w:marRight w:val="0"/>
              <w:marTop w:val="0"/>
              <w:marBottom w:val="0"/>
              <w:divBdr>
                <w:top w:val="none" w:sz="0" w:space="0" w:color="auto"/>
                <w:left w:val="none" w:sz="0" w:space="0" w:color="auto"/>
                <w:bottom w:val="none" w:sz="0" w:space="0" w:color="auto"/>
                <w:right w:val="none" w:sz="0" w:space="0" w:color="auto"/>
              </w:divBdr>
            </w:div>
            <w:div w:id="1705130825">
              <w:marLeft w:val="0"/>
              <w:marRight w:val="0"/>
              <w:marTop w:val="0"/>
              <w:marBottom w:val="0"/>
              <w:divBdr>
                <w:top w:val="none" w:sz="0" w:space="0" w:color="auto"/>
                <w:left w:val="none" w:sz="0" w:space="0" w:color="auto"/>
                <w:bottom w:val="none" w:sz="0" w:space="0" w:color="auto"/>
                <w:right w:val="none" w:sz="0" w:space="0" w:color="auto"/>
              </w:divBdr>
            </w:div>
            <w:div w:id="2084988303">
              <w:marLeft w:val="0"/>
              <w:marRight w:val="0"/>
              <w:marTop w:val="0"/>
              <w:marBottom w:val="0"/>
              <w:divBdr>
                <w:top w:val="none" w:sz="0" w:space="0" w:color="auto"/>
                <w:left w:val="none" w:sz="0" w:space="0" w:color="auto"/>
                <w:bottom w:val="none" w:sz="0" w:space="0" w:color="auto"/>
                <w:right w:val="none" w:sz="0" w:space="0" w:color="auto"/>
              </w:divBdr>
            </w:div>
            <w:div w:id="1150637373">
              <w:marLeft w:val="0"/>
              <w:marRight w:val="0"/>
              <w:marTop w:val="0"/>
              <w:marBottom w:val="0"/>
              <w:divBdr>
                <w:top w:val="none" w:sz="0" w:space="0" w:color="auto"/>
                <w:left w:val="none" w:sz="0" w:space="0" w:color="auto"/>
                <w:bottom w:val="none" w:sz="0" w:space="0" w:color="auto"/>
                <w:right w:val="none" w:sz="0" w:space="0" w:color="auto"/>
              </w:divBdr>
            </w:div>
            <w:div w:id="790975438">
              <w:marLeft w:val="0"/>
              <w:marRight w:val="0"/>
              <w:marTop w:val="0"/>
              <w:marBottom w:val="0"/>
              <w:divBdr>
                <w:top w:val="none" w:sz="0" w:space="0" w:color="auto"/>
                <w:left w:val="none" w:sz="0" w:space="0" w:color="auto"/>
                <w:bottom w:val="none" w:sz="0" w:space="0" w:color="auto"/>
                <w:right w:val="none" w:sz="0" w:space="0" w:color="auto"/>
              </w:divBdr>
            </w:div>
            <w:div w:id="840657440">
              <w:marLeft w:val="0"/>
              <w:marRight w:val="0"/>
              <w:marTop w:val="0"/>
              <w:marBottom w:val="0"/>
              <w:divBdr>
                <w:top w:val="none" w:sz="0" w:space="0" w:color="auto"/>
                <w:left w:val="none" w:sz="0" w:space="0" w:color="auto"/>
                <w:bottom w:val="none" w:sz="0" w:space="0" w:color="auto"/>
                <w:right w:val="none" w:sz="0" w:space="0" w:color="auto"/>
              </w:divBdr>
            </w:div>
            <w:div w:id="2102799649">
              <w:marLeft w:val="0"/>
              <w:marRight w:val="0"/>
              <w:marTop w:val="0"/>
              <w:marBottom w:val="0"/>
              <w:divBdr>
                <w:top w:val="none" w:sz="0" w:space="0" w:color="auto"/>
                <w:left w:val="none" w:sz="0" w:space="0" w:color="auto"/>
                <w:bottom w:val="none" w:sz="0" w:space="0" w:color="auto"/>
                <w:right w:val="none" w:sz="0" w:space="0" w:color="auto"/>
              </w:divBdr>
            </w:div>
            <w:div w:id="1507018261">
              <w:marLeft w:val="0"/>
              <w:marRight w:val="0"/>
              <w:marTop w:val="0"/>
              <w:marBottom w:val="0"/>
              <w:divBdr>
                <w:top w:val="none" w:sz="0" w:space="0" w:color="auto"/>
                <w:left w:val="none" w:sz="0" w:space="0" w:color="auto"/>
                <w:bottom w:val="none" w:sz="0" w:space="0" w:color="auto"/>
                <w:right w:val="none" w:sz="0" w:space="0" w:color="auto"/>
              </w:divBdr>
            </w:div>
            <w:div w:id="660039659">
              <w:marLeft w:val="0"/>
              <w:marRight w:val="0"/>
              <w:marTop w:val="0"/>
              <w:marBottom w:val="0"/>
              <w:divBdr>
                <w:top w:val="none" w:sz="0" w:space="0" w:color="auto"/>
                <w:left w:val="none" w:sz="0" w:space="0" w:color="auto"/>
                <w:bottom w:val="none" w:sz="0" w:space="0" w:color="auto"/>
                <w:right w:val="none" w:sz="0" w:space="0" w:color="auto"/>
              </w:divBdr>
            </w:div>
            <w:div w:id="976757662">
              <w:marLeft w:val="0"/>
              <w:marRight w:val="0"/>
              <w:marTop w:val="0"/>
              <w:marBottom w:val="0"/>
              <w:divBdr>
                <w:top w:val="none" w:sz="0" w:space="0" w:color="auto"/>
                <w:left w:val="none" w:sz="0" w:space="0" w:color="auto"/>
                <w:bottom w:val="none" w:sz="0" w:space="0" w:color="auto"/>
                <w:right w:val="none" w:sz="0" w:space="0" w:color="auto"/>
              </w:divBdr>
            </w:div>
            <w:div w:id="61024783">
              <w:marLeft w:val="0"/>
              <w:marRight w:val="0"/>
              <w:marTop w:val="0"/>
              <w:marBottom w:val="0"/>
              <w:divBdr>
                <w:top w:val="none" w:sz="0" w:space="0" w:color="auto"/>
                <w:left w:val="none" w:sz="0" w:space="0" w:color="auto"/>
                <w:bottom w:val="none" w:sz="0" w:space="0" w:color="auto"/>
                <w:right w:val="none" w:sz="0" w:space="0" w:color="auto"/>
              </w:divBdr>
            </w:div>
            <w:div w:id="227348860">
              <w:marLeft w:val="0"/>
              <w:marRight w:val="0"/>
              <w:marTop w:val="0"/>
              <w:marBottom w:val="0"/>
              <w:divBdr>
                <w:top w:val="none" w:sz="0" w:space="0" w:color="auto"/>
                <w:left w:val="none" w:sz="0" w:space="0" w:color="auto"/>
                <w:bottom w:val="none" w:sz="0" w:space="0" w:color="auto"/>
                <w:right w:val="none" w:sz="0" w:space="0" w:color="auto"/>
              </w:divBdr>
            </w:div>
            <w:div w:id="1064911815">
              <w:marLeft w:val="0"/>
              <w:marRight w:val="0"/>
              <w:marTop w:val="0"/>
              <w:marBottom w:val="0"/>
              <w:divBdr>
                <w:top w:val="none" w:sz="0" w:space="0" w:color="auto"/>
                <w:left w:val="none" w:sz="0" w:space="0" w:color="auto"/>
                <w:bottom w:val="none" w:sz="0" w:space="0" w:color="auto"/>
                <w:right w:val="none" w:sz="0" w:space="0" w:color="auto"/>
              </w:divBdr>
            </w:div>
            <w:div w:id="1276598130">
              <w:marLeft w:val="0"/>
              <w:marRight w:val="0"/>
              <w:marTop w:val="0"/>
              <w:marBottom w:val="0"/>
              <w:divBdr>
                <w:top w:val="none" w:sz="0" w:space="0" w:color="auto"/>
                <w:left w:val="none" w:sz="0" w:space="0" w:color="auto"/>
                <w:bottom w:val="none" w:sz="0" w:space="0" w:color="auto"/>
                <w:right w:val="none" w:sz="0" w:space="0" w:color="auto"/>
              </w:divBdr>
            </w:div>
            <w:div w:id="1197081357">
              <w:marLeft w:val="0"/>
              <w:marRight w:val="0"/>
              <w:marTop w:val="0"/>
              <w:marBottom w:val="0"/>
              <w:divBdr>
                <w:top w:val="none" w:sz="0" w:space="0" w:color="auto"/>
                <w:left w:val="none" w:sz="0" w:space="0" w:color="auto"/>
                <w:bottom w:val="none" w:sz="0" w:space="0" w:color="auto"/>
                <w:right w:val="none" w:sz="0" w:space="0" w:color="auto"/>
              </w:divBdr>
            </w:div>
            <w:div w:id="219564333">
              <w:marLeft w:val="0"/>
              <w:marRight w:val="0"/>
              <w:marTop w:val="0"/>
              <w:marBottom w:val="0"/>
              <w:divBdr>
                <w:top w:val="none" w:sz="0" w:space="0" w:color="auto"/>
                <w:left w:val="none" w:sz="0" w:space="0" w:color="auto"/>
                <w:bottom w:val="none" w:sz="0" w:space="0" w:color="auto"/>
                <w:right w:val="none" w:sz="0" w:space="0" w:color="auto"/>
              </w:divBdr>
            </w:div>
            <w:div w:id="1389232634">
              <w:marLeft w:val="0"/>
              <w:marRight w:val="0"/>
              <w:marTop w:val="0"/>
              <w:marBottom w:val="0"/>
              <w:divBdr>
                <w:top w:val="none" w:sz="0" w:space="0" w:color="auto"/>
                <w:left w:val="none" w:sz="0" w:space="0" w:color="auto"/>
                <w:bottom w:val="none" w:sz="0" w:space="0" w:color="auto"/>
                <w:right w:val="none" w:sz="0" w:space="0" w:color="auto"/>
              </w:divBdr>
            </w:div>
            <w:div w:id="1273824283">
              <w:marLeft w:val="0"/>
              <w:marRight w:val="0"/>
              <w:marTop w:val="0"/>
              <w:marBottom w:val="0"/>
              <w:divBdr>
                <w:top w:val="none" w:sz="0" w:space="0" w:color="auto"/>
                <w:left w:val="none" w:sz="0" w:space="0" w:color="auto"/>
                <w:bottom w:val="none" w:sz="0" w:space="0" w:color="auto"/>
                <w:right w:val="none" w:sz="0" w:space="0" w:color="auto"/>
              </w:divBdr>
            </w:div>
            <w:div w:id="311761143">
              <w:marLeft w:val="0"/>
              <w:marRight w:val="0"/>
              <w:marTop w:val="0"/>
              <w:marBottom w:val="0"/>
              <w:divBdr>
                <w:top w:val="none" w:sz="0" w:space="0" w:color="auto"/>
                <w:left w:val="none" w:sz="0" w:space="0" w:color="auto"/>
                <w:bottom w:val="none" w:sz="0" w:space="0" w:color="auto"/>
                <w:right w:val="none" w:sz="0" w:space="0" w:color="auto"/>
              </w:divBdr>
            </w:div>
            <w:div w:id="1498959359">
              <w:marLeft w:val="0"/>
              <w:marRight w:val="0"/>
              <w:marTop w:val="0"/>
              <w:marBottom w:val="0"/>
              <w:divBdr>
                <w:top w:val="none" w:sz="0" w:space="0" w:color="auto"/>
                <w:left w:val="none" w:sz="0" w:space="0" w:color="auto"/>
                <w:bottom w:val="none" w:sz="0" w:space="0" w:color="auto"/>
                <w:right w:val="none" w:sz="0" w:space="0" w:color="auto"/>
              </w:divBdr>
            </w:div>
            <w:div w:id="1601377991">
              <w:marLeft w:val="0"/>
              <w:marRight w:val="0"/>
              <w:marTop w:val="0"/>
              <w:marBottom w:val="0"/>
              <w:divBdr>
                <w:top w:val="none" w:sz="0" w:space="0" w:color="auto"/>
                <w:left w:val="none" w:sz="0" w:space="0" w:color="auto"/>
                <w:bottom w:val="none" w:sz="0" w:space="0" w:color="auto"/>
                <w:right w:val="none" w:sz="0" w:space="0" w:color="auto"/>
              </w:divBdr>
            </w:div>
            <w:div w:id="1289700540">
              <w:marLeft w:val="0"/>
              <w:marRight w:val="0"/>
              <w:marTop w:val="0"/>
              <w:marBottom w:val="0"/>
              <w:divBdr>
                <w:top w:val="none" w:sz="0" w:space="0" w:color="auto"/>
                <w:left w:val="none" w:sz="0" w:space="0" w:color="auto"/>
                <w:bottom w:val="none" w:sz="0" w:space="0" w:color="auto"/>
                <w:right w:val="none" w:sz="0" w:space="0" w:color="auto"/>
              </w:divBdr>
            </w:div>
            <w:div w:id="110129770">
              <w:marLeft w:val="0"/>
              <w:marRight w:val="0"/>
              <w:marTop w:val="0"/>
              <w:marBottom w:val="0"/>
              <w:divBdr>
                <w:top w:val="none" w:sz="0" w:space="0" w:color="auto"/>
                <w:left w:val="none" w:sz="0" w:space="0" w:color="auto"/>
                <w:bottom w:val="none" w:sz="0" w:space="0" w:color="auto"/>
                <w:right w:val="none" w:sz="0" w:space="0" w:color="auto"/>
              </w:divBdr>
            </w:div>
            <w:div w:id="126095606">
              <w:marLeft w:val="0"/>
              <w:marRight w:val="0"/>
              <w:marTop w:val="0"/>
              <w:marBottom w:val="0"/>
              <w:divBdr>
                <w:top w:val="none" w:sz="0" w:space="0" w:color="auto"/>
                <w:left w:val="none" w:sz="0" w:space="0" w:color="auto"/>
                <w:bottom w:val="none" w:sz="0" w:space="0" w:color="auto"/>
                <w:right w:val="none" w:sz="0" w:space="0" w:color="auto"/>
              </w:divBdr>
            </w:div>
            <w:div w:id="1165239253">
              <w:marLeft w:val="0"/>
              <w:marRight w:val="0"/>
              <w:marTop w:val="0"/>
              <w:marBottom w:val="0"/>
              <w:divBdr>
                <w:top w:val="none" w:sz="0" w:space="0" w:color="auto"/>
                <w:left w:val="none" w:sz="0" w:space="0" w:color="auto"/>
                <w:bottom w:val="none" w:sz="0" w:space="0" w:color="auto"/>
                <w:right w:val="none" w:sz="0" w:space="0" w:color="auto"/>
              </w:divBdr>
            </w:div>
            <w:div w:id="1059326547">
              <w:marLeft w:val="0"/>
              <w:marRight w:val="0"/>
              <w:marTop w:val="0"/>
              <w:marBottom w:val="0"/>
              <w:divBdr>
                <w:top w:val="none" w:sz="0" w:space="0" w:color="auto"/>
                <w:left w:val="none" w:sz="0" w:space="0" w:color="auto"/>
                <w:bottom w:val="none" w:sz="0" w:space="0" w:color="auto"/>
                <w:right w:val="none" w:sz="0" w:space="0" w:color="auto"/>
              </w:divBdr>
            </w:div>
            <w:div w:id="750934353">
              <w:marLeft w:val="0"/>
              <w:marRight w:val="0"/>
              <w:marTop w:val="0"/>
              <w:marBottom w:val="0"/>
              <w:divBdr>
                <w:top w:val="none" w:sz="0" w:space="0" w:color="auto"/>
                <w:left w:val="none" w:sz="0" w:space="0" w:color="auto"/>
                <w:bottom w:val="none" w:sz="0" w:space="0" w:color="auto"/>
                <w:right w:val="none" w:sz="0" w:space="0" w:color="auto"/>
              </w:divBdr>
            </w:div>
            <w:div w:id="391927533">
              <w:marLeft w:val="0"/>
              <w:marRight w:val="0"/>
              <w:marTop w:val="0"/>
              <w:marBottom w:val="0"/>
              <w:divBdr>
                <w:top w:val="none" w:sz="0" w:space="0" w:color="auto"/>
                <w:left w:val="none" w:sz="0" w:space="0" w:color="auto"/>
                <w:bottom w:val="none" w:sz="0" w:space="0" w:color="auto"/>
                <w:right w:val="none" w:sz="0" w:space="0" w:color="auto"/>
              </w:divBdr>
            </w:div>
            <w:div w:id="1912350473">
              <w:marLeft w:val="0"/>
              <w:marRight w:val="0"/>
              <w:marTop w:val="0"/>
              <w:marBottom w:val="0"/>
              <w:divBdr>
                <w:top w:val="none" w:sz="0" w:space="0" w:color="auto"/>
                <w:left w:val="none" w:sz="0" w:space="0" w:color="auto"/>
                <w:bottom w:val="none" w:sz="0" w:space="0" w:color="auto"/>
                <w:right w:val="none" w:sz="0" w:space="0" w:color="auto"/>
              </w:divBdr>
            </w:div>
            <w:div w:id="431974192">
              <w:marLeft w:val="0"/>
              <w:marRight w:val="0"/>
              <w:marTop w:val="0"/>
              <w:marBottom w:val="0"/>
              <w:divBdr>
                <w:top w:val="none" w:sz="0" w:space="0" w:color="auto"/>
                <w:left w:val="none" w:sz="0" w:space="0" w:color="auto"/>
                <w:bottom w:val="none" w:sz="0" w:space="0" w:color="auto"/>
                <w:right w:val="none" w:sz="0" w:space="0" w:color="auto"/>
              </w:divBdr>
            </w:div>
            <w:div w:id="1278177861">
              <w:marLeft w:val="0"/>
              <w:marRight w:val="0"/>
              <w:marTop w:val="0"/>
              <w:marBottom w:val="0"/>
              <w:divBdr>
                <w:top w:val="none" w:sz="0" w:space="0" w:color="auto"/>
                <w:left w:val="none" w:sz="0" w:space="0" w:color="auto"/>
                <w:bottom w:val="none" w:sz="0" w:space="0" w:color="auto"/>
                <w:right w:val="none" w:sz="0" w:space="0" w:color="auto"/>
              </w:divBdr>
            </w:div>
            <w:div w:id="2107577532">
              <w:marLeft w:val="0"/>
              <w:marRight w:val="0"/>
              <w:marTop w:val="0"/>
              <w:marBottom w:val="0"/>
              <w:divBdr>
                <w:top w:val="none" w:sz="0" w:space="0" w:color="auto"/>
                <w:left w:val="none" w:sz="0" w:space="0" w:color="auto"/>
                <w:bottom w:val="none" w:sz="0" w:space="0" w:color="auto"/>
                <w:right w:val="none" w:sz="0" w:space="0" w:color="auto"/>
              </w:divBdr>
            </w:div>
            <w:div w:id="2022706628">
              <w:marLeft w:val="0"/>
              <w:marRight w:val="0"/>
              <w:marTop w:val="0"/>
              <w:marBottom w:val="0"/>
              <w:divBdr>
                <w:top w:val="none" w:sz="0" w:space="0" w:color="auto"/>
                <w:left w:val="none" w:sz="0" w:space="0" w:color="auto"/>
                <w:bottom w:val="none" w:sz="0" w:space="0" w:color="auto"/>
                <w:right w:val="none" w:sz="0" w:space="0" w:color="auto"/>
              </w:divBdr>
            </w:div>
            <w:div w:id="381709932">
              <w:marLeft w:val="0"/>
              <w:marRight w:val="0"/>
              <w:marTop w:val="0"/>
              <w:marBottom w:val="0"/>
              <w:divBdr>
                <w:top w:val="none" w:sz="0" w:space="0" w:color="auto"/>
                <w:left w:val="none" w:sz="0" w:space="0" w:color="auto"/>
                <w:bottom w:val="none" w:sz="0" w:space="0" w:color="auto"/>
                <w:right w:val="none" w:sz="0" w:space="0" w:color="auto"/>
              </w:divBdr>
            </w:div>
            <w:div w:id="1398896226">
              <w:marLeft w:val="0"/>
              <w:marRight w:val="0"/>
              <w:marTop w:val="0"/>
              <w:marBottom w:val="0"/>
              <w:divBdr>
                <w:top w:val="none" w:sz="0" w:space="0" w:color="auto"/>
                <w:left w:val="none" w:sz="0" w:space="0" w:color="auto"/>
                <w:bottom w:val="none" w:sz="0" w:space="0" w:color="auto"/>
                <w:right w:val="none" w:sz="0" w:space="0" w:color="auto"/>
              </w:divBdr>
            </w:div>
            <w:div w:id="1170564675">
              <w:marLeft w:val="0"/>
              <w:marRight w:val="0"/>
              <w:marTop w:val="0"/>
              <w:marBottom w:val="0"/>
              <w:divBdr>
                <w:top w:val="none" w:sz="0" w:space="0" w:color="auto"/>
                <w:left w:val="none" w:sz="0" w:space="0" w:color="auto"/>
                <w:bottom w:val="none" w:sz="0" w:space="0" w:color="auto"/>
                <w:right w:val="none" w:sz="0" w:space="0" w:color="auto"/>
              </w:divBdr>
            </w:div>
            <w:div w:id="1216240504">
              <w:marLeft w:val="0"/>
              <w:marRight w:val="0"/>
              <w:marTop w:val="0"/>
              <w:marBottom w:val="0"/>
              <w:divBdr>
                <w:top w:val="none" w:sz="0" w:space="0" w:color="auto"/>
                <w:left w:val="none" w:sz="0" w:space="0" w:color="auto"/>
                <w:bottom w:val="none" w:sz="0" w:space="0" w:color="auto"/>
                <w:right w:val="none" w:sz="0" w:space="0" w:color="auto"/>
              </w:divBdr>
            </w:div>
            <w:div w:id="601106969">
              <w:marLeft w:val="0"/>
              <w:marRight w:val="0"/>
              <w:marTop w:val="0"/>
              <w:marBottom w:val="0"/>
              <w:divBdr>
                <w:top w:val="none" w:sz="0" w:space="0" w:color="auto"/>
                <w:left w:val="none" w:sz="0" w:space="0" w:color="auto"/>
                <w:bottom w:val="none" w:sz="0" w:space="0" w:color="auto"/>
                <w:right w:val="none" w:sz="0" w:space="0" w:color="auto"/>
              </w:divBdr>
            </w:div>
            <w:div w:id="291445140">
              <w:marLeft w:val="0"/>
              <w:marRight w:val="0"/>
              <w:marTop w:val="0"/>
              <w:marBottom w:val="0"/>
              <w:divBdr>
                <w:top w:val="none" w:sz="0" w:space="0" w:color="auto"/>
                <w:left w:val="none" w:sz="0" w:space="0" w:color="auto"/>
                <w:bottom w:val="none" w:sz="0" w:space="0" w:color="auto"/>
                <w:right w:val="none" w:sz="0" w:space="0" w:color="auto"/>
              </w:divBdr>
            </w:div>
            <w:div w:id="1515651923">
              <w:marLeft w:val="0"/>
              <w:marRight w:val="0"/>
              <w:marTop w:val="0"/>
              <w:marBottom w:val="0"/>
              <w:divBdr>
                <w:top w:val="none" w:sz="0" w:space="0" w:color="auto"/>
                <w:left w:val="none" w:sz="0" w:space="0" w:color="auto"/>
                <w:bottom w:val="none" w:sz="0" w:space="0" w:color="auto"/>
                <w:right w:val="none" w:sz="0" w:space="0" w:color="auto"/>
              </w:divBdr>
            </w:div>
            <w:div w:id="325476134">
              <w:marLeft w:val="0"/>
              <w:marRight w:val="0"/>
              <w:marTop w:val="0"/>
              <w:marBottom w:val="0"/>
              <w:divBdr>
                <w:top w:val="none" w:sz="0" w:space="0" w:color="auto"/>
                <w:left w:val="none" w:sz="0" w:space="0" w:color="auto"/>
                <w:bottom w:val="none" w:sz="0" w:space="0" w:color="auto"/>
                <w:right w:val="none" w:sz="0" w:space="0" w:color="auto"/>
              </w:divBdr>
            </w:div>
            <w:div w:id="1248609250">
              <w:marLeft w:val="0"/>
              <w:marRight w:val="0"/>
              <w:marTop w:val="0"/>
              <w:marBottom w:val="0"/>
              <w:divBdr>
                <w:top w:val="none" w:sz="0" w:space="0" w:color="auto"/>
                <w:left w:val="none" w:sz="0" w:space="0" w:color="auto"/>
                <w:bottom w:val="none" w:sz="0" w:space="0" w:color="auto"/>
                <w:right w:val="none" w:sz="0" w:space="0" w:color="auto"/>
              </w:divBdr>
            </w:div>
            <w:div w:id="1608997461">
              <w:marLeft w:val="0"/>
              <w:marRight w:val="0"/>
              <w:marTop w:val="0"/>
              <w:marBottom w:val="0"/>
              <w:divBdr>
                <w:top w:val="none" w:sz="0" w:space="0" w:color="auto"/>
                <w:left w:val="none" w:sz="0" w:space="0" w:color="auto"/>
                <w:bottom w:val="none" w:sz="0" w:space="0" w:color="auto"/>
                <w:right w:val="none" w:sz="0" w:space="0" w:color="auto"/>
              </w:divBdr>
            </w:div>
            <w:div w:id="27412111">
              <w:marLeft w:val="0"/>
              <w:marRight w:val="0"/>
              <w:marTop w:val="0"/>
              <w:marBottom w:val="0"/>
              <w:divBdr>
                <w:top w:val="none" w:sz="0" w:space="0" w:color="auto"/>
                <w:left w:val="none" w:sz="0" w:space="0" w:color="auto"/>
                <w:bottom w:val="none" w:sz="0" w:space="0" w:color="auto"/>
                <w:right w:val="none" w:sz="0" w:space="0" w:color="auto"/>
              </w:divBdr>
            </w:div>
            <w:div w:id="1856455760">
              <w:marLeft w:val="0"/>
              <w:marRight w:val="0"/>
              <w:marTop w:val="0"/>
              <w:marBottom w:val="0"/>
              <w:divBdr>
                <w:top w:val="none" w:sz="0" w:space="0" w:color="auto"/>
                <w:left w:val="none" w:sz="0" w:space="0" w:color="auto"/>
                <w:bottom w:val="none" w:sz="0" w:space="0" w:color="auto"/>
                <w:right w:val="none" w:sz="0" w:space="0" w:color="auto"/>
              </w:divBdr>
            </w:div>
            <w:div w:id="1504315430">
              <w:marLeft w:val="0"/>
              <w:marRight w:val="0"/>
              <w:marTop w:val="0"/>
              <w:marBottom w:val="0"/>
              <w:divBdr>
                <w:top w:val="none" w:sz="0" w:space="0" w:color="auto"/>
                <w:left w:val="none" w:sz="0" w:space="0" w:color="auto"/>
                <w:bottom w:val="none" w:sz="0" w:space="0" w:color="auto"/>
                <w:right w:val="none" w:sz="0" w:space="0" w:color="auto"/>
              </w:divBdr>
            </w:div>
            <w:div w:id="899706628">
              <w:marLeft w:val="0"/>
              <w:marRight w:val="0"/>
              <w:marTop w:val="0"/>
              <w:marBottom w:val="0"/>
              <w:divBdr>
                <w:top w:val="none" w:sz="0" w:space="0" w:color="auto"/>
                <w:left w:val="none" w:sz="0" w:space="0" w:color="auto"/>
                <w:bottom w:val="none" w:sz="0" w:space="0" w:color="auto"/>
                <w:right w:val="none" w:sz="0" w:space="0" w:color="auto"/>
              </w:divBdr>
            </w:div>
            <w:div w:id="431052193">
              <w:marLeft w:val="0"/>
              <w:marRight w:val="0"/>
              <w:marTop w:val="0"/>
              <w:marBottom w:val="0"/>
              <w:divBdr>
                <w:top w:val="none" w:sz="0" w:space="0" w:color="auto"/>
                <w:left w:val="none" w:sz="0" w:space="0" w:color="auto"/>
                <w:bottom w:val="none" w:sz="0" w:space="0" w:color="auto"/>
                <w:right w:val="none" w:sz="0" w:space="0" w:color="auto"/>
              </w:divBdr>
            </w:div>
            <w:div w:id="299767847">
              <w:marLeft w:val="0"/>
              <w:marRight w:val="0"/>
              <w:marTop w:val="0"/>
              <w:marBottom w:val="0"/>
              <w:divBdr>
                <w:top w:val="none" w:sz="0" w:space="0" w:color="auto"/>
                <w:left w:val="none" w:sz="0" w:space="0" w:color="auto"/>
                <w:bottom w:val="none" w:sz="0" w:space="0" w:color="auto"/>
                <w:right w:val="none" w:sz="0" w:space="0" w:color="auto"/>
              </w:divBdr>
            </w:div>
            <w:div w:id="333655699">
              <w:marLeft w:val="0"/>
              <w:marRight w:val="0"/>
              <w:marTop w:val="0"/>
              <w:marBottom w:val="0"/>
              <w:divBdr>
                <w:top w:val="none" w:sz="0" w:space="0" w:color="auto"/>
                <w:left w:val="none" w:sz="0" w:space="0" w:color="auto"/>
                <w:bottom w:val="none" w:sz="0" w:space="0" w:color="auto"/>
                <w:right w:val="none" w:sz="0" w:space="0" w:color="auto"/>
              </w:divBdr>
            </w:div>
            <w:div w:id="1358854484">
              <w:marLeft w:val="0"/>
              <w:marRight w:val="0"/>
              <w:marTop w:val="0"/>
              <w:marBottom w:val="0"/>
              <w:divBdr>
                <w:top w:val="none" w:sz="0" w:space="0" w:color="auto"/>
                <w:left w:val="none" w:sz="0" w:space="0" w:color="auto"/>
                <w:bottom w:val="none" w:sz="0" w:space="0" w:color="auto"/>
                <w:right w:val="none" w:sz="0" w:space="0" w:color="auto"/>
              </w:divBdr>
            </w:div>
            <w:div w:id="1193569935">
              <w:marLeft w:val="0"/>
              <w:marRight w:val="0"/>
              <w:marTop w:val="0"/>
              <w:marBottom w:val="0"/>
              <w:divBdr>
                <w:top w:val="none" w:sz="0" w:space="0" w:color="auto"/>
                <w:left w:val="none" w:sz="0" w:space="0" w:color="auto"/>
                <w:bottom w:val="none" w:sz="0" w:space="0" w:color="auto"/>
                <w:right w:val="none" w:sz="0" w:space="0" w:color="auto"/>
              </w:divBdr>
            </w:div>
            <w:div w:id="27921729">
              <w:marLeft w:val="0"/>
              <w:marRight w:val="0"/>
              <w:marTop w:val="0"/>
              <w:marBottom w:val="0"/>
              <w:divBdr>
                <w:top w:val="none" w:sz="0" w:space="0" w:color="auto"/>
                <w:left w:val="none" w:sz="0" w:space="0" w:color="auto"/>
                <w:bottom w:val="none" w:sz="0" w:space="0" w:color="auto"/>
                <w:right w:val="none" w:sz="0" w:space="0" w:color="auto"/>
              </w:divBdr>
            </w:div>
            <w:div w:id="215820280">
              <w:marLeft w:val="0"/>
              <w:marRight w:val="0"/>
              <w:marTop w:val="0"/>
              <w:marBottom w:val="0"/>
              <w:divBdr>
                <w:top w:val="none" w:sz="0" w:space="0" w:color="auto"/>
                <w:left w:val="none" w:sz="0" w:space="0" w:color="auto"/>
                <w:bottom w:val="none" w:sz="0" w:space="0" w:color="auto"/>
                <w:right w:val="none" w:sz="0" w:space="0" w:color="auto"/>
              </w:divBdr>
            </w:div>
            <w:div w:id="2034306990">
              <w:marLeft w:val="0"/>
              <w:marRight w:val="0"/>
              <w:marTop w:val="0"/>
              <w:marBottom w:val="0"/>
              <w:divBdr>
                <w:top w:val="none" w:sz="0" w:space="0" w:color="auto"/>
                <w:left w:val="none" w:sz="0" w:space="0" w:color="auto"/>
                <w:bottom w:val="none" w:sz="0" w:space="0" w:color="auto"/>
                <w:right w:val="none" w:sz="0" w:space="0" w:color="auto"/>
              </w:divBdr>
            </w:div>
            <w:div w:id="43140690">
              <w:marLeft w:val="0"/>
              <w:marRight w:val="0"/>
              <w:marTop w:val="0"/>
              <w:marBottom w:val="0"/>
              <w:divBdr>
                <w:top w:val="none" w:sz="0" w:space="0" w:color="auto"/>
                <w:left w:val="none" w:sz="0" w:space="0" w:color="auto"/>
                <w:bottom w:val="none" w:sz="0" w:space="0" w:color="auto"/>
                <w:right w:val="none" w:sz="0" w:space="0" w:color="auto"/>
              </w:divBdr>
            </w:div>
            <w:div w:id="1568571209">
              <w:marLeft w:val="0"/>
              <w:marRight w:val="0"/>
              <w:marTop w:val="0"/>
              <w:marBottom w:val="0"/>
              <w:divBdr>
                <w:top w:val="none" w:sz="0" w:space="0" w:color="auto"/>
                <w:left w:val="none" w:sz="0" w:space="0" w:color="auto"/>
                <w:bottom w:val="none" w:sz="0" w:space="0" w:color="auto"/>
                <w:right w:val="none" w:sz="0" w:space="0" w:color="auto"/>
              </w:divBdr>
            </w:div>
            <w:div w:id="992563628">
              <w:marLeft w:val="0"/>
              <w:marRight w:val="0"/>
              <w:marTop w:val="0"/>
              <w:marBottom w:val="0"/>
              <w:divBdr>
                <w:top w:val="none" w:sz="0" w:space="0" w:color="auto"/>
                <w:left w:val="none" w:sz="0" w:space="0" w:color="auto"/>
                <w:bottom w:val="none" w:sz="0" w:space="0" w:color="auto"/>
                <w:right w:val="none" w:sz="0" w:space="0" w:color="auto"/>
              </w:divBdr>
            </w:div>
            <w:div w:id="1344941463">
              <w:marLeft w:val="0"/>
              <w:marRight w:val="0"/>
              <w:marTop w:val="0"/>
              <w:marBottom w:val="0"/>
              <w:divBdr>
                <w:top w:val="none" w:sz="0" w:space="0" w:color="auto"/>
                <w:left w:val="none" w:sz="0" w:space="0" w:color="auto"/>
                <w:bottom w:val="none" w:sz="0" w:space="0" w:color="auto"/>
                <w:right w:val="none" w:sz="0" w:space="0" w:color="auto"/>
              </w:divBdr>
            </w:div>
            <w:div w:id="357589434">
              <w:marLeft w:val="0"/>
              <w:marRight w:val="0"/>
              <w:marTop w:val="0"/>
              <w:marBottom w:val="0"/>
              <w:divBdr>
                <w:top w:val="none" w:sz="0" w:space="0" w:color="auto"/>
                <w:left w:val="none" w:sz="0" w:space="0" w:color="auto"/>
                <w:bottom w:val="none" w:sz="0" w:space="0" w:color="auto"/>
                <w:right w:val="none" w:sz="0" w:space="0" w:color="auto"/>
              </w:divBdr>
            </w:div>
            <w:div w:id="1356032155">
              <w:marLeft w:val="0"/>
              <w:marRight w:val="0"/>
              <w:marTop w:val="0"/>
              <w:marBottom w:val="0"/>
              <w:divBdr>
                <w:top w:val="none" w:sz="0" w:space="0" w:color="auto"/>
                <w:left w:val="none" w:sz="0" w:space="0" w:color="auto"/>
                <w:bottom w:val="none" w:sz="0" w:space="0" w:color="auto"/>
                <w:right w:val="none" w:sz="0" w:space="0" w:color="auto"/>
              </w:divBdr>
            </w:div>
            <w:div w:id="63780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6</Pages>
  <Words>2117</Words>
  <Characters>11645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Arranz</dc:creator>
  <cp:keywords/>
  <dc:description/>
  <cp:lastModifiedBy>Esmeralda</cp:lastModifiedBy>
  <cp:revision>27</cp:revision>
  <dcterms:created xsi:type="dcterms:W3CDTF">2016-02-09T08:12:00Z</dcterms:created>
  <dcterms:modified xsi:type="dcterms:W3CDTF">2016-04-29T19:04:00Z</dcterms:modified>
</cp:coreProperties>
</file>