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29" w:rsidRPr="00CE52E6" w:rsidRDefault="00876CF3" w:rsidP="00CE52E6">
      <w:pPr>
        <w:pStyle w:val="H1"/>
        <w:rPr>
          <w:rFonts w:cs="Arial"/>
          <w:lang w:val="fr-FR"/>
        </w:rPr>
      </w:pPr>
      <w:r>
        <w:rPr>
          <w:rFonts w:cs="Arial"/>
          <w:lang w:val="fr-FR"/>
        </w:rPr>
        <w:t xml:space="preserve">Modèle de </w:t>
      </w:r>
      <w:r w:rsidR="00777E6D">
        <w:rPr>
          <w:rFonts w:cs="Arial"/>
          <w:lang w:val="fr-FR"/>
        </w:rPr>
        <w:t>matrice des risques liés aux programmes de transferts monétaires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63"/>
        <w:gridCol w:w="1276"/>
        <w:gridCol w:w="2966"/>
        <w:gridCol w:w="6061"/>
      </w:tblGrid>
      <w:tr w:rsidR="00C70C35" w:rsidRPr="001B2505" w:rsidTr="00382808">
        <w:trPr>
          <w:trHeight w:val="426"/>
        </w:trPr>
        <w:tc>
          <w:tcPr>
            <w:tcW w:w="1311" w:type="pct"/>
            <w:tcBorders>
              <w:bottom w:val="single" w:sz="4" w:space="0" w:color="auto"/>
            </w:tcBorders>
            <w:shd w:val="clear" w:color="auto" w:fill="DC281E"/>
            <w:vAlign w:val="center"/>
          </w:tcPr>
          <w:p w:rsidR="00CF2E6D" w:rsidRPr="00876CF3" w:rsidRDefault="00A72D79" w:rsidP="00C70C35">
            <w:pPr>
              <w:spacing w:before="120"/>
              <w:jc w:val="center"/>
              <w:rPr>
                <w:rFonts w:cs="Arial"/>
                <w:i/>
                <w:color w:val="FFFFFF" w:themeColor="background1"/>
                <w:lang w:val="fr-FR"/>
              </w:rPr>
            </w:pPr>
            <w:r>
              <w:rPr>
                <w:rFonts w:cs="Arial"/>
                <w:b/>
                <w:color w:val="FFFFFF" w:themeColor="background1"/>
                <w:lang w:val="fr-FR"/>
              </w:rPr>
              <w:t xml:space="preserve">Risques </w:t>
            </w:r>
            <w:r w:rsidR="00C70C35" w:rsidRPr="00876CF3">
              <w:rPr>
                <w:rFonts w:cs="Arial"/>
                <w:b/>
                <w:color w:val="FFFFFF" w:themeColor="background1"/>
                <w:lang w:val="fr-FR"/>
              </w:rPr>
              <w:br/>
            </w:r>
            <w:r w:rsidR="00CF3D12" w:rsidRPr="00876CF3">
              <w:rPr>
                <w:rFonts w:cs="Arial"/>
                <w:i/>
                <w:color w:val="FFFFFF" w:themeColor="background1"/>
                <w:lang w:val="fr-FR"/>
              </w:rPr>
              <w:t>(</w:t>
            </w:r>
            <w:r w:rsidR="004B77A9">
              <w:rPr>
                <w:rFonts w:cs="Arial"/>
                <w:i/>
                <w:color w:val="FFFFFF" w:themeColor="background1"/>
                <w:lang w:val="fr-FR"/>
              </w:rPr>
              <w:t>et source d’</w:t>
            </w:r>
            <w:r w:rsidR="002946C0" w:rsidRPr="00876CF3">
              <w:rPr>
                <w:rFonts w:cs="Arial"/>
                <w:i/>
                <w:color w:val="FFFFFF" w:themeColor="background1"/>
                <w:lang w:val="fr-FR"/>
              </w:rPr>
              <w:t>i</w:t>
            </w:r>
            <w:r w:rsidR="00CF3D12" w:rsidRPr="00876CF3">
              <w:rPr>
                <w:rFonts w:cs="Arial"/>
                <w:i/>
                <w:color w:val="FFFFFF" w:themeColor="background1"/>
                <w:lang w:val="fr-FR"/>
              </w:rPr>
              <w:t>nformation)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DC281E"/>
            <w:vAlign w:val="center"/>
          </w:tcPr>
          <w:p w:rsidR="00CF2E6D" w:rsidRPr="00876CF3" w:rsidRDefault="00A72D79" w:rsidP="004B77A9">
            <w:pPr>
              <w:spacing w:before="120"/>
              <w:jc w:val="center"/>
              <w:rPr>
                <w:rFonts w:cs="Arial"/>
                <w:b/>
                <w:color w:val="FFFFFF" w:themeColor="background1"/>
                <w:lang w:val="fr-FR"/>
              </w:rPr>
            </w:pPr>
            <w:r>
              <w:rPr>
                <w:rFonts w:cs="Arial"/>
                <w:b/>
                <w:color w:val="FFFFFF" w:themeColor="background1"/>
                <w:lang w:val="fr-FR"/>
              </w:rPr>
              <w:t xml:space="preserve">Probabilité </w:t>
            </w:r>
            <w:r w:rsidR="00C70C35" w:rsidRPr="00876CF3">
              <w:rPr>
                <w:rFonts w:cs="Arial"/>
                <w:b/>
                <w:color w:val="FFFFFF" w:themeColor="background1"/>
                <w:lang w:val="fr-FR"/>
              </w:rPr>
              <w:br/>
            </w:r>
            <w:r w:rsidR="004B77A9">
              <w:rPr>
                <w:rFonts w:cs="Arial"/>
                <w:b/>
                <w:color w:val="FFFFFF" w:themeColor="background1"/>
                <w:lang w:val="fr-FR"/>
              </w:rPr>
              <w:t xml:space="preserve">(1 Faible </w:t>
            </w:r>
            <w:r w:rsidR="00A578A6" w:rsidRPr="00876CF3">
              <w:rPr>
                <w:rFonts w:cs="Arial"/>
                <w:b/>
                <w:color w:val="FFFFFF" w:themeColor="background1"/>
                <w:lang w:val="fr-FR"/>
              </w:rPr>
              <w:t xml:space="preserve">- </w:t>
            </w:r>
            <w:r w:rsidR="00382808" w:rsidRPr="00876CF3">
              <w:rPr>
                <w:rFonts w:cs="Arial"/>
                <w:b/>
                <w:color w:val="FFFFFF" w:themeColor="background1"/>
                <w:lang w:val="fr-FR"/>
              </w:rPr>
              <w:br/>
            </w:r>
            <w:r w:rsidR="00A578A6" w:rsidRPr="00876CF3">
              <w:rPr>
                <w:rFonts w:cs="Arial"/>
                <w:b/>
                <w:color w:val="FFFFFF" w:themeColor="background1"/>
                <w:lang w:val="fr-FR"/>
              </w:rPr>
              <w:t xml:space="preserve">5 </w:t>
            </w:r>
            <w:r w:rsidR="004B77A9">
              <w:rPr>
                <w:rFonts w:cs="Arial"/>
                <w:b/>
                <w:color w:val="FFFFFF" w:themeColor="background1"/>
                <w:lang w:val="fr-FR"/>
              </w:rPr>
              <w:t>Élevée</w:t>
            </w:r>
            <w:r w:rsidR="00A578A6" w:rsidRPr="00876CF3">
              <w:rPr>
                <w:rFonts w:cs="Arial"/>
                <w:b/>
                <w:color w:val="FFFFFF" w:themeColor="background1"/>
                <w:lang w:val="fr-FR"/>
              </w:rPr>
              <w:t>)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DC281E"/>
            <w:vAlign w:val="center"/>
          </w:tcPr>
          <w:p w:rsidR="00A578A6" w:rsidRPr="00876CF3" w:rsidRDefault="001B2505" w:rsidP="001B2505">
            <w:pPr>
              <w:spacing w:before="120"/>
              <w:jc w:val="center"/>
              <w:rPr>
                <w:rFonts w:cs="Arial"/>
                <w:b/>
                <w:color w:val="FFFFFF" w:themeColor="background1"/>
                <w:lang w:val="fr-FR"/>
              </w:rPr>
            </w:pPr>
            <w:r>
              <w:rPr>
                <w:rFonts w:cs="Arial"/>
                <w:b/>
                <w:color w:val="FFFFFF" w:themeColor="background1"/>
                <w:lang w:val="fr-FR"/>
              </w:rPr>
              <w:t>I</w:t>
            </w:r>
            <w:r w:rsidR="00A578A6" w:rsidRPr="00876CF3">
              <w:rPr>
                <w:rFonts w:cs="Arial"/>
                <w:b/>
                <w:color w:val="FFFFFF" w:themeColor="background1"/>
                <w:lang w:val="fr-FR"/>
              </w:rPr>
              <w:t>mpact</w:t>
            </w:r>
            <w:r w:rsidR="008660E0">
              <w:rPr>
                <w:rFonts w:cs="Arial"/>
                <w:b/>
                <w:color w:val="FFFFFF" w:themeColor="background1"/>
                <w:lang w:val="fr-FR"/>
              </w:rPr>
              <w:t xml:space="preserve"> du risque</w:t>
            </w:r>
            <w:r w:rsidR="00A578A6" w:rsidRPr="00876CF3">
              <w:rPr>
                <w:rFonts w:cs="Arial"/>
                <w:b/>
                <w:color w:val="FFFFFF" w:themeColor="background1"/>
                <w:lang w:val="fr-FR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lang w:val="fr-FR"/>
              </w:rPr>
              <w:t>sur le</w:t>
            </w:r>
            <w:r w:rsidR="00402C6F" w:rsidRPr="00876CF3">
              <w:rPr>
                <w:rFonts w:cs="Arial"/>
                <w:b/>
                <w:color w:val="FFFFFF" w:themeColor="background1"/>
                <w:lang w:val="fr-FR"/>
              </w:rPr>
              <w:t xml:space="preserve"> p</w:t>
            </w:r>
            <w:r w:rsidR="00E175AC" w:rsidRPr="00876CF3">
              <w:rPr>
                <w:rFonts w:cs="Arial"/>
                <w:b/>
                <w:color w:val="FFFFFF" w:themeColor="background1"/>
                <w:lang w:val="fr-FR"/>
              </w:rPr>
              <w:t>rogram</w:t>
            </w:r>
            <w:r w:rsidR="004F7EB3" w:rsidRPr="00876CF3">
              <w:rPr>
                <w:rFonts w:cs="Arial"/>
                <w:b/>
                <w:color w:val="FFFFFF" w:themeColor="background1"/>
                <w:lang w:val="fr-FR"/>
              </w:rPr>
              <w:t>me</w:t>
            </w:r>
            <w:r w:rsidR="00A578A6" w:rsidRPr="00876CF3">
              <w:rPr>
                <w:rFonts w:cs="Arial"/>
                <w:b/>
                <w:color w:val="FFFFFF" w:themeColor="background1"/>
                <w:lang w:val="fr-FR"/>
              </w:rPr>
              <w:t xml:space="preserve"> </w:t>
            </w:r>
            <w:r w:rsidR="00C70C35" w:rsidRPr="00876CF3">
              <w:rPr>
                <w:rFonts w:cs="Arial"/>
                <w:b/>
                <w:color w:val="FFFFFF" w:themeColor="background1"/>
                <w:lang w:val="fr-FR"/>
              </w:rPr>
              <w:br/>
            </w:r>
            <w:r w:rsidR="00A578A6" w:rsidRPr="00876CF3">
              <w:rPr>
                <w:rFonts w:cs="Arial"/>
                <w:b/>
                <w:color w:val="FFFFFF" w:themeColor="background1"/>
                <w:lang w:val="fr-FR"/>
              </w:rPr>
              <w:t xml:space="preserve">(1 </w:t>
            </w:r>
            <w:r w:rsidR="004B77A9">
              <w:rPr>
                <w:rFonts w:cs="Arial"/>
                <w:b/>
                <w:color w:val="FFFFFF" w:themeColor="background1"/>
                <w:lang w:val="fr-FR"/>
              </w:rPr>
              <w:t>Faible</w:t>
            </w:r>
            <w:r w:rsidR="00A578A6" w:rsidRPr="00876CF3">
              <w:rPr>
                <w:rFonts w:cs="Arial"/>
                <w:b/>
                <w:color w:val="FFFFFF" w:themeColor="background1"/>
                <w:lang w:val="fr-FR"/>
              </w:rPr>
              <w:t xml:space="preserve"> – 5 </w:t>
            </w:r>
            <w:r w:rsidR="004B77A9">
              <w:rPr>
                <w:rFonts w:cs="Arial"/>
                <w:b/>
                <w:color w:val="FFFFFF" w:themeColor="background1"/>
                <w:lang w:val="fr-FR"/>
              </w:rPr>
              <w:t>Élevé</w:t>
            </w:r>
            <w:r w:rsidR="00A578A6" w:rsidRPr="00876CF3">
              <w:rPr>
                <w:rFonts w:cs="Arial"/>
                <w:b/>
                <w:color w:val="FFFFFF" w:themeColor="background1"/>
                <w:lang w:val="fr-FR"/>
              </w:rPr>
              <w:t>)</w:t>
            </w:r>
          </w:p>
        </w:tc>
        <w:tc>
          <w:tcPr>
            <w:tcW w:w="2170" w:type="pct"/>
            <w:tcBorders>
              <w:bottom w:val="single" w:sz="4" w:space="0" w:color="auto"/>
            </w:tcBorders>
            <w:shd w:val="clear" w:color="auto" w:fill="DC281E"/>
            <w:vAlign w:val="center"/>
          </w:tcPr>
          <w:p w:rsidR="00CF2E6D" w:rsidRPr="00876CF3" w:rsidRDefault="004B77A9" w:rsidP="00C70C35">
            <w:pPr>
              <w:spacing w:before="120"/>
              <w:jc w:val="center"/>
              <w:rPr>
                <w:rFonts w:cs="Arial"/>
                <w:b/>
                <w:color w:val="FFFFFF" w:themeColor="background1"/>
                <w:lang w:val="fr-FR"/>
              </w:rPr>
            </w:pPr>
            <w:r>
              <w:rPr>
                <w:rFonts w:cs="Arial"/>
                <w:b/>
                <w:color w:val="FFFFFF" w:themeColor="background1"/>
                <w:lang w:val="fr-FR"/>
              </w:rPr>
              <w:t>Mesures potentielles de réduction des risques</w:t>
            </w:r>
          </w:p>
        </w:tc>
      </w:tr>
      <w:tr w:rsidR="00A578A6" w:rsidRPr="00876CF3" w:rsidTr="00214372">
        <w:tc>
          <w:tcPr>
            <w:tcW w:w="5000" w:type="pct"/>
            <w:gridSpan w:val="4"/>
            <w:shd w:val="clear" w:color="auto" w:fill="E6E6E6"/>
            <w:vAlign w:val="center"/>
          </w:tcPr>
          <w:p w:rsidR="00A578A6" w:rsidRPr="00876CF3" w:rsidRDefault="004B77A9" w:rsidP="004B77A9">
            <w:pPr>
              <w:spacing w:before="60" w:after="60"/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t>Risques liés au contexte</w:t>
            </w:r>
          </w:p>
        </w:tc>
      </w:tr>
      <w:tr w:rsidR="00382808" w:rsidRPr="001B2505" w:rsidTr="00382808">
        <w:trPr>
          <w:trHeight w:val="545"/>
        </w:trPr>
        <w:tc>
          <w:tcPr>
            <w:tcW w:w="1311" w:type="pct"/>
            <w:shd w:val="clear" w:color="auto" w:fill="A6A6A6"/>
            <w:vAlign w:val="center"/>
          </w:tcPr>
          <w:p w:rsidR="00E26136" w:rsidRPr="00876CF3" w:rsidRDefault="000E446E" w:rsidP="00775D77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bCs/>
                <w:iCs/>
                <w:color w:val="000000"/>
                <w:lang w:val="fr-FR" w:eastAsia="en-GB"/>
              </w:rPr>
              <w:t>Réglementations/lois gouvernementales</w:t>
            </w:r>
          </w:p>
        </w:tc>
        <w:tc>
          <w:tcPr>
            <w:tcW w:w="457" w:type="pct"/>
            <w:shd w:val="clear" w:color="auto" w:fill="F3F3F3"/>
          </w:tcPr>
          <w:p w:rsidR="007A0054" w:rsidRDefault="007A0054" w:rsidP="00775D77">
            <w:pPr>
              <w:pStyle w:val="Paragraphedeliste"/>
              <w:spacing w:before="20" w:after="20"/>
              <w:ind w:left="317"/>
              <w:jc w:val="left"/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</w:pPr>
          </w:p>
          <w:p w:rsidR="007A0054" w:rsidRDefault="007A0054" w:rsidP="00775D77">
            <w:pPr>
              <w:pStyle w:val="Paragraphedeliste"/>
              <w:spacing w:before="20" w:after="20"/>
              <w:ind w:left="317"/>
              <w:jc w:val="left"/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</w:pPr>
          </w:p>
          <w:p w:rsidR="00E26136" w:rsidRPr="00876CF3" w:rsidRDefault="007A0054" w:rsidP="00775D77">
            <w:pPr>
              <w:pStyle w:val="Paragraphedeliste"/>
              <w:spacing w:before="20" w:after="20"/>
              <w:ind w:left="317"/>
              <w:jc w:val="left"/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</w:pPr>
            <w:r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  <w:t>1</w:t>
            </w:r>
          </w:p>
        </w:tc>
        <w:tc>
          <w:tcPr>
            <w:tcW w:w="1062" w:type="pct"/>
            <w:shd w:val="clear" w:color="auto" w:fill="F3F3F3"/>
            <w:vAlign w:val="center"/>
          </w:tcPr>
          <w:p w:rsidR="00E26136" w:rsidRPr="00876CF3" w:rsidRDefault="0071343A" w:rsidP="00DF5564">
            <w:pPr>
              <w:spacing w:before="20" w:after="20"/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5</w:t>
            </w:r>
          </w:p>
        </w:tc>
        <w:tc>
          <w:tcPr>
            <w:tcW w:w="2170" w:type="pct"/>
            <w:shd w:val="clear" w:color="auto" w:fill="E6E6E6"/>
            <w:vAlign w:val="center"/>
          </w:tcPr>
          <w:p w:rsidR="00E26136" w:rsidRPr="00013693" w:rsidRDefault="00756068" w:rsidP="00756068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Choisir un</w:t>
            </w:r>
            <w:r w:rsidR="00013693">
              <w:rPr>
                <w:lang w:val="fr-FR"/>
              </w:rPr>
              <w:t xml:space="preserve"> mécanisme de distribution respectant les réglementations et les lois nationales</w:t>
            </w:r>
          </w:p>
        </w:tc>
      </w:tr>
      <w:tr w:rsidR="00382808" w:rsidRPr="001B2505" w:rsidTr="00382808">
        <w:trPr>
          <w:trHeight w:val="545"/>
        </w:trPr>
        <w:tc>
          <w:tcPr>
            <w:tcW w:w="1311" w:type="pct"/>
            <w:shd w:val="clear" w:color="auto" w:fill="A6A6A6"/>
            <w:vAlign w:val="center"/>
          </w:tcPr>
          <w:p w:rsidR="00E26136" w:rsidRPr="00876CF3" w:rsidRDefault="000E446E" w:rsidP="00775D77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Sécurité</w:t>
            </w:r>
            <w:r w:rsidR="00043E58">
              <w:rPr>
                <w:rFonts w:cs="Arial"/>
                <w:b/>
                <w:lang w:val="fr-FR"/>
              </w:rPr>
              <w:t>/</w:t>
            </w:r>
            <w:r w:rsidR="00E26136" w:rsidRPr="00876CF3">
              <w:rPr>
                <w:rFonts w:cs="Arial"/>
                <w:b/>
                <w:lang w:val="fr-FR"/>
              </w:rPr>
              <w:t>acc</w:t>
            </w:r>
            <w:r>
              <w:rPr>
                <w:rFonts w:cs="Arial"/>
                <w:b/>
                <w:lang w:val="fr-FR"/>
              </w:rPr>
              <w:t>ès</w:t>
            </w:r>
          </w:p>
        </w:tc>
        <w:tc>
          <w:tcPr>
            <w:tcW w:w="457" w:type="pct"/>
            <w:shd w:val="clear" w:color="auto" w:fill="F3F3F3"/>
            <w:vAlign w:val="center"/>
          </w:tcPr>
          <w:p w:rsidR="00E26136" w:rsidRPr="00DF5564" w:rsidRDefault="0071343A" w:rsidP="00DF5564">
            <w:pPr>
              <w:pStyle w:val="Paragraphedeliste"/>
              <w:spacing w:before="20" w:after="20"/>
              <w:ind w:left="317"/>
              <w:jc w:val="left"/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</w:pPr>
            <w:r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  <w:t>1</w:t>
            </w:r>
          </w:p>
        </w:tc>
        <w:tc>
          <w:tcPr>
            <w:tcW w:w="1062" w:type="pct"/>
            <w:shd w:val="clear" w:color="auto" w:fill="F3F3F3"/>
            <w:vAlign w:val="center"/>
          </w:tcPr>
          <w:p w:rsidR="00E26136" w:rsidRPr="00876CF3" w:rsidRDefault="0056775B" w:rsidP="00DF5564">
            <w:pPr>
              <w:spacing w:before="20" w:after="20"/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</w:t>
            </w:r>
          </w:p>
        </w:tc>
        <w:tc>
          <w:tcPr>
            <w:tcW w:w="2170" w:type="pct"/>
            <w:shd w:val="clear" w:color="auto" w:fill="E6E6E6"/>
            <w:vAlign w:val="center"/>
          </w:tcPr>
          <w:p w:rsidR="00E26136" w:rsidRPr="00013693" w:rsidRDefault="00756068" w:rsidP="00043E58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S’assurer de l’accessibilité et du contexte sécuritaire de la zone (Changnassou, Korop, Gao et Dan Gao)</w:t>
            </w:r>
          </w:p>
        </w:tc>
      </w:tr>
      <w:tr w:rsidR="00382808" w:rsidRPr="001B2505" w:rsidTr="00382808">
        <w:trPr>
          <w:trHeight w:val="545"/>
        </w:trPr>
        <w:tc>
          <w:tcPr>
            <w:tcW w:w="1311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26136" w:rsidRPr="00876CF3" w:rsidRDefault="000E446E" w:rsidP="000E446E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Inflation provoqu</w:t>
            </w:r>
            <w:r w:rsidR="001B2505">
              <w:rPr>
                <w:rFonts w:cs="Arial"/>
                <w:b/>
                <w:lang w:val="fr-FR"/>
              </w:rPr>
              <w:t xml:space="preserve">ée par des facteurs externes, par </w:t>
            </w:r>
            <w:r>
              <w:rPr>
                <w:rFonts w:cs="Arial"/>
                <w:b/>
                <w:lang w:val="fr-FR"/>
              </w:rPr>
              <w:t>ex.</w:t>
            </w:r>
            <w:r w:rsidR="00043E58">
              <w:rPr>
                <w:rFonts w:cs="Arial"/>
                <w:b/>
                <w:lang w:val="fr-FR"/>
              </w:rPr>
              <w:t xml:space="preserve"> par une</w:t>
            </w:r>
            <w:r>
              <w:rPr>
                <w:rFonts w:cs="Arial"/>
                <w:b/>
                <w:lang w:val="fr-FR"/>
              </w:rPr>
              <w:t xml:space="preserve"> dévaluation de la monnaie</w:t>
            </w:r>
            <w:r w:rsidR="003E73B1">
              <w:rPr>
                <w:rFonts w:cs="Arial"/>
                <w:b/>
                <w:lang w:val="fr-FR"/>
              </w:rPr>
              <w:t xml:space="preserve"> 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26136" w:rsidRPr="00DF5564" w:rsidRDefault="007A0054" w:rsidP="00DF5564">
            <w:pPr>
              <w:pStyle w:val="Paragraphedeliste"/>
              <w:spacing w:before="20" w:after="20"/>
              <w:ind w:left="317"/>
              <w:jc w:val="left"/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</w:pPr>
            <w:r w:rsidRPr="00DF5564"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  <w:t>1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26136" w:rsidRPr="00876CF3" w:rsidRDefault="0071343A" w:rsidP="00DF5564">
            <w:pPr>
              <w:spacing w:before="20" w:after="20"/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3</w:t>
            </w:r>
          </w:p>
        </w:tc>
        <w:tc>
          <w:tcPr>
            <w:tcW w:w="21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26136" w:rsidRPr="00013693" w:rsidRDefault="00CE52E6" w:rsidP="00CE52E6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Elaborer un</w:t>
            </w:r>
            <w:r w:rsidR="00013693">
              <w:rPr>
                <w:lang w:val="fr-FR"/>
              </w:rPr>
              <w:t xml:space="preserve"> plan d’urgence définissant la marche à suivre </w:t>
            </w:r>
            <w:r w:rsidR="00043E58">
              <w:rPr>
                <w:lang w:val="fr-FR"/>
              </w:rPr>
              <w:t>en cas d’</w:t>
            </w:r>
            <w:r w:rsidR="00013693">
              <w:rPr>
                <w:lang w:val="fr-FR"/>
              </w:rPr>
              <w:t xml:space="preserve">inflation et </w:t>
            </w:r>
            <w:r w:rsidR="00043E58">
              <w:rPr>
                <w:lang w:val="fr-FR"/>
              </w:rPr>
              <w:t>d</w:t>
            </w:r>
            <w:r w:rsidR="00013693">
              <w:rPr>
                <w:lang w:val="fr-FR"/>
              </w:rPr>
              <w:t xml:space="preserve">e </w:t>
            </w:r>
            <w:r w:rsidR="001B2505">
              <w:rPr>
                <w:lang w:val="fr-FR"/>
              </w:rPr>
              <w:t>réduction du</w:t>
            </w:r>
            <w:r w:rsidR="00013693">
              <w:rPr>
                <w:lang w:val="fr-FR"/>
              </w:rPr>
              <w:t xml:space="preserve"> pouvoir d’achat</w:t>
            </w:r>
            <w:r w:rsidR="00043E58">
              <w:rPr>
                <w:lang w:val="fr-FR"/>
              </w:rPr>
              <w:t xml:space="preserve"> (adaptation du</w:t>
            </w:r>
            <w:r w:rsidR="00013693">
              <w:rPr>
                <w:lang w:val="fr-FR"/>
              </w:rPr>
              <w:t xml:space="preserve"> montant des transferts, </w:t>
            </w:r>
            <w:r w:rsidR="00043E58">
              <w:rPr>
                <w:lang w:val="fr-FR"/>
              </w:rPr>
              <w:t>choix d’</w:t>
            </w:r>
            <w:r w:rsidR="00013693">
              <w:rPr>
                <w:lang w:val="fr-FR"/>
              </w:rPr>
              <w:t>une autre modalité, etc.)</w:t>
            </w:r>
          </w:p>
        </w:tc>
      </w:tr>
      <w:tr w:rsidR="00E26136" w:rsidRPr="00876CF3" w:rsidTr="00214372">
        <w:tc>
          <w:tcPr>
            <w:tcW w:w="0" w:type="auto"/>
            <w:gridSpan w:val="4"/>
            <w:shd w:val="clear" w:color="auto" w:fill="E6E6E6"/>
            <w:vAlign w:val="center"/>
          </w:tcPr>
          <w:p w:rsidR="00E26136" w:rsidRPr="00DF5564" w:rsidRDefault="004B77A9" w:rsidP="00DF5564">
            <w:pPr>
              <w:pStyle w:val="Paragraphedeliste"/>
              <w:spacing w:before="20" w:after="20"/>
              <w:ind w:left="317"/>
              <w:jc w:val="center"/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</w:pPr>
            <w:r w:rsidRPr="00DF5564">
              <w:rPr>
                <w:rFonts w:cs="Arial"/>
                <w:bCs/>
                <w:iCs/>
                <w:color w:val="000000"/>
                <w:szCs w:val="20"/>
                <w:lang w:val="fr-FR" w:eastAsia="en-GB"/>
              </w:rPr>
              <w:t>Risques liés aux programmes</w:t>
            </w:r>
          </w:p>
        </w:tc>
      </w:tr>
      <w:tr w:rsidR="00382808" w:rsidRPr="001B2505" w:rsidTr="00382808">
        <w:trPr>
          <w:trHeight w:val="545"/>
        </w:trPr>
        <w:tc>
          <w:tcPr>
            <w:tcW w:w="1311" w:type="pct"/>
            <w:shd w:val="clear" w:color="auto" w:fill="A6A6A6"/>
            <w:vAlign w:val="center"/>
          </w:tcPr>
          <w:p w:rsidR="00BD6F9B" w:rsidRPr="00876CF3" w:rsidRDefault="000E446E" w:rsidP="00775D77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bCs/>
                <w:color w:val="000000"/>
                <w:lang w:val="fr-FR" w:eastAsia="en-GB"/>
              </w:rPr>
              <w:t>Risques liés aux capacités de financement</w:t>
            </w:r>
          </w:p>
        </w:tc>
        <w:tc>
          <w:tcPr>
            <w:tcW w:w="457" w:type="pct"/>
            <w:shd w:val="clear" w:color="auto" w:fill="F3F3F3"/>
            <w:vAlign w:val="center"/>
          </w:tcPr>
          <w:p w:rsidR="00BD6F9B" w:rsidRPr="00DF5564" w:rsidRDefault="007A0054" w:rsidP="00DF5564">
            <w:pPr>
              <w:spacing w:before="20" w:after="20"/>
              <w:jc w:val="center"/>
              <w:rPr>
                <w:rFonts w:cs="Arial"/>
                <w:bCs/>
                <w:iCs/>
                <w:color w:val="000000"/>
                <w:lang w:val="fr-FR" w:eastAsia="en-GB"/>
              </w:rPr>
            </w:pPr>
            <w:r w:rsidRPr="00DF5564">
              <w:rPr>
                <w:rFonts w:cs="Arial"/>
                <w:b/>
                <w:bCs/>
                <w:color w:val="000000"/>
                <w:lang w:val="fr-FR" w:eastAsia="en-GB"/>
              </w:rPr>
              <w:t>1</w:t>
            </w:r>
          </w:p>
        </w:tc>
        <w:tc>
          <w:tcPr>
            <w:tcW w:w="1062" w:type="pct"/>
            <w:shd w:val="clear" w:color="auto" w:fill="F3F3F3"/>
          </w:tcPr>
          <w:p w:rsidR="00BD6F9B" w:rsidRDefault="00BD6F9B" w:rsidP="00DF5564">
            <w:pPr>
              <w:spacing w:before="20" w:after="20"/>
              <w:jc w:val="center"/>
              <w:rPr>
                <w:rFonts w:cs="Arial"/>
                <w:b/>
                <w:bCs/>
                <w:color w:val="000000"/>
                <w:lang w:val="fr-FR" w:eastAsia="en-GB"/>
              </w:rPr>
            </w:pPr>
          </w:p>
          <w:p w:rsidR="0071343A" w:rsidRDefault="0071343A" w:rsidP="00DF5564">
            <w:pPr>
              <w:spacing w:before="20" w:after="20"/>
              <w:jc w:val="center"/>
              <w:rPr>
                <w:rFonts w:cs="Arial"/>
                <w:b/>
                <w:bCs/>
                <w:color w:val="000000"/>
                <w:lang w:val="fr-FR" w:eastAsia="en-GB"/>
              </w:rPr>
            </w:pPr>
          </w:p>
          <w:p w:rsidR="007A0054" w:rsidRPr="00876CF3" w:rsidRDefault="006F3084" w:rsidP="00DF5564">
            <w:pPr>
              <w:spacing w:before="20" w:after="20"/>
              <w:jc w:val="center"/>
              <w:rPr>
                <w:rFonts w:cs="Arial"/>
                <w:b/>
                <w:bCs/>
                <w:color w:val="000000"/>
                <w:lang w:val="fr-FR" w:eastAsia="en-GB"/>
              </w:rPr>
            </w:pPr>
            <w:r>
              <w:rPr>
                <w:rFonts w:cs="Arial"/>
                <w:b/>
                <w:bCs/>
                <w:color w:val="000000"/>
                <w:lang w:val="fr-FR" w:eastAsia="en-GB"/>
              </w:rPr>
              <w:t>4</w:t>
            </w:r>
          </w:p>
        </w:tc>
        <w:tc>
          <w:tcPr>
            <w:tcW w:w="2170" w:type="pct"/>
            <w:shd w:val="clear" w:color="auto" w:fill="E6E6E6"/>
          </w:tcPr>
          <w:p w:rsidR="00013693" w:rsidRDefault="0071343A" w:rsidP="001B2505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Évaluation des</w:t>
            </w:r>
            <w:r w:rsidR="00FE2FA9">
              <w:rPr>
                <w:lang w:val="fr-FR"/>
              </w:rPr>
              <w:t xml:space="preserve"> stratégies potentielles des donateurs </w:t>
            </w:r>
            <w:r w:rsidR="001B2505">
              <w:rPr>
                <w:lang w:val="fr-FR"/>
              </w:rPr>
              <w:t>en matière de</w:t>
            </w:r>
            <w:r w:rsidR="00FE2FA9">
              <w:rPr>
                <w:lang w:val="fr-FR"/>
              </w:rPr>
              <w:t xml:space="preserve"> PTM dans </w:t>
            </w:r>
            <w:r w:rsidR="00043E58">
              <w:rPr>
                <w:lang w:val="fr-FR"/>
              </w:rPr>
              <w:t>le contexte en question</w:t>
            </w:r>
          </w:p>
          <w:p w:rsidR="00BD6F9B" w:rsidRPr="00E13D16" w:rsidRDefault="00C6511E" w:rsidP="00043E58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Tirer</w:t>
            </w:r>
            <w:r w:rsidR="00E13D16">
              <w:rPr>
                <w:lang w:val="fr-FR"/>
              </w:rPr>
              <w:t xml:space="preserve"> des enseignements des opérations mises en œuvre dans des contextes similaires</w:t>
            </w:r>
          </w:p>
        </w:tc>
      </w:tr>
      <w:tr w:rsidR="00382808" w:rsidRPr="001B2505" w:rsidTr="00382808">
        <w:tc>
          <w:tcPr>
            <w:tcW w:w="1311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367029" w:rsidRPr="00876CF3" w:rsidRDefault="000E446E" w:rsidP="001B2505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bCs/>
                <w:color w:val="000000"/>
                <w:lang w:val="fr-FR" w:eastAsia="en-GB"/>
              </w:rPr>
              <w:t xml:space="preserve">Risques liés à la collaboration avec des </w:t>
            </w:r>
            <w:r w:rsidR="001B2505">
              <w:rPr>
                <w:rFonts w:cs="Arial"/>
                <w:b/>
                <w:bCs/>
                <w:color w:val="000000"/>
                <w:lang w:val="fr-FR" w:eastAsia="en-GB"/>
              </w:rPr>
              <w:t>organismes tiers</w:t>
            </w:r>
          </w:p>
        </w:tc>
        <w:tc>
          <w:tcPr>
            <w:tcW w:w="457" w:type="pct"/>
            <w:shd w:val="clear" w:color="auto" w:fill="F3F3F3"/>
            <w:vAlign w:val="center"/>
          </w:tcPr>
          <w:p w:rsidR="00367029" w:rsidRPr="00876CF3" w:rsidRDefault="00752DE7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</w:t>
            </w:r>
          </w:p>
        </w:tc>
        <w:tc>
          <w:tcPr>
            <w:tcW w:w="1062" w:type="pct"/>
            <w:shd w:val="clear" w:color="auto" w:fill="F3F3F3"/>
          </w:tcPr>
          <w:p w:rsidR="00367029" w:rsidRDefault="00367029" w:rsidP="00775D77">
            <w:pPr>
              <w:spacing w:before="20" w:after="20"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</w:p>
          <w:p w:rsidR="00752DE7" w:rsidRDefault="00752DE7" w:rsidP="00775D77">
            <w:pPr>
              <w:spacing w:before="20" w:after="20"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</w:p>
          <w:p w:rsidR="00752DE7" w:rsidRDefault="00752DE7" w:rsidP="00775D77">
            <w:pPr>
              <w:spacing w:before="20" w:after="20"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</w:p>
          <w:p w:rsidR="00752DE7" w:rsidRDefault="00752DE7" w:rsidP="00775D77">
            <w:pPr>
              <w:spacing w:before="20" w:after="20"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</w:p>
          <w:p w:rsidR="00752DE7" w:rsidRDefault="00752DE7" w:rsidP="00775D77">
            <w:pPr>
              <w:spacing w:before="20" w:after="20"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</w:p>
          <w:p w:rsidR="00752DE7" w:rsidRDefault="00752DE7" w:rsidP="00775D77">
            <w:pPr>
              <w:spacing w:before="20" w:after="20"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</w:p>
          <w:p w:rsidR="00752DE7" w:rsidRPr="00876CF3" w:rsidRDefault="009A3AD7" w:rsidP="00775D77">
            <w:pPr>
              <w:spacing w:before="20" w:after="20"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  <w:r>
              <w:rPr>
                <w:rFonts w:cs="Arial"/>
                <w:b/>
                <w:bCs/>
                <w:color w:val="000000"/>
                <w:lang w:val="fr-FR" w:eastAsia="en-GB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:rsidR="00FE2FA9" w:rsidRDefault="00F94E6F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Privilégier</w:t>
            </w:r>
            <w:r w:rsidR="00043E58">
              <w:rPr>
                <w:lang w:val="fr-FR"/>
              </w:rPr>
              <w:t xml:space="preserve"> la</w:t>
            </w:r>
            <w:r w:rsidR="00FE2FA9">
              <w:rPr>
                <w:lang w:val="fr-FR"/>
              </w:rPr>
              <w:t xml:space="preserve"> dis</w:t>
            </w:r>
            <w:r w:rsidR="00043E58">
              <w:rPr>
                <w:lang w:val="fr-FR"/>
              </w:rPr>
              <w:t>tribution fréquente</w:t>
            </w:r>
            <w:r w:rsidR="00FE2FA9">
              <w:rPr>
                <w:lang w:val="fr-FR"/>
              </w:rPr>
              <w:t xml:space="preserve"> de petits montants plutôt qu’un seul versement important</w:t>
            </w:r>
          </w:p>
          <w:p w:rsidR="00367029" w:rsidRPr="00876CF3" w:rsidRDefault="00F94E6F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Informer</w:t>
            </w:r>
            <w:r w:rsidR="00FE2FA9">
              <w:rPr>
                <w:lang w:val="fr-FR"/>
              </w:rPr>
              <w:t xml:space="preserve"> le public des conséquences </w:t>
            </w:r>
            <w:r w:rsidR="00482005">
              <w:rPr>
                <w:lang w:val="fr-FR"/>
              </w:rPr>
              <w:t xml:space="preserve">de tout incident de sécurité (par </w:t>
            </w:r>
            <w:r w:rsidR="00FE2FA9">
              <w:rPr>
                <w:lang w:val="fr-FR"/>
              </w:rPr>
              <w:t>ex. l’arrêt du programme, etc.)</w:t>
            </w:r>
          </w:p>
          <w:p w:rsidR="00367029" w:rsidRPr="00876CF3" w:rsidRDefault="00F94E6F" w:rsidP="00482005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Associer</w:t>
            </w:r>
            <w:r w:rsidR="00FE2FA9">
              <w:rPr>
                <w:lang w:val="fr-FR"/>
              </w:rPr>
              <w:t xml:space="preserve"> les membres de la communauté </w:t>
            </w:r>
            <w:r w:rsidR="00482005">
              <w:rPr>
                <w:lang w:val="fr-FR"/>
              </w:rPr>
              <w:t>au choix du</w:t>
            </w:r>
            <w:r w:rsidR="00FE2FA9">
              <w:rPr>
                <w:lang w:val="fr-FR"/>
              </w:rPr>
              <w:t xml:space="preserve"> lieu de distribution le plus sûr</w:t>
            </w:r>
          </w:p>
          <w:p w:rsidR="00FE2FA9" w:rsidRDefault="00F94E6F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Surveiller</w:t>
            </w:r>
            <w:r w:rsidR="00FE2FA9">
              <w:rPr>
                <w:lang w:val="fr-FR"/>
              </w:rPr>
              <w:t xml:space="preserve"> le processus d’encaissement afin </w:t>
            </w:r>
            <w:r>
              <w:rPr>
                <w:lang w:val="fr-FR"/>
              </w:rPr>
              <w:t>de s’assurer</w:t>
            </w:r>
            <w:r w:rsidR="00FE2FA9">
              <w:rPr>
                <w:lang w:val="fr-FR"/>
              </w:rPr>
              <w:t xml:space="preserve"> que les intermé</w:t>
            </w:r>
            <w:r w:rsidR="00043E58">
              <w:rPr>
                <w:lang w:val="fr-FR"/>
              </w:rPr>
              <w:t>diaires respectent le processus et les normes convenu</w:t>
            </w:r>
            <w:r w:rsidR="00FE2FA9">
              <w:rPr>
                <w:lang w:val="fr-FR"/>
              </w:rPr>
              <w:t>s</w:t>
            </w:r>
          </w:p>
          <w:p w:rsidR="00367029" w:rsidRDefault="00F94E6F" w:rsidP="00482005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Faire</w:t>
            </w:r>
            <w:r w:rsidR="00FE2FA9">
              <w:rPr>
                <w:lang w:val="fr-FR"/>
              </w:rPr>
              <w:t xml:space="preserve"> un suivi de l’encaissement des espèces par les bénéficiaires afin de vous assurer </w:t>
            </w:r>
            <w:r w:rsidR="00482005">
              <w:rPr>
                <w:lang w:val="fr-FR"/>
              </w:rPr>
              <w:t>qu’ils</w:t>
            </w:r>
            <w:r w:rsidR="00FE2FA9">
              <w:rPr>
                <w:lang w:val="fr-FR"/>
              </w:rPr>
              <w:t xml:space="preserve"> n’ont</w:t>
            </w:r>
            <w:r w:rsidR="003E73B1">
              <w:rPr>
                <w:lang w:val="fr-FR"/>
              </w:rPr>
              <w:t xml:space="preserve"> </w:t>
            </w:r>
            <w:r w:rsidR="00FE2FA9">
              <w:rPr>
                <w:lang w:val="fr-FR"/>
              </w:rPr>
              <w:t>pas dû payer de frais, qu’ils n’ont pas été harcelés, etc.</w:t>
            </w:r>
          </w:p>
          <w:p w:rsidR="00367029" w:rsidRPr="00FE2FA9" w:rsidRDefault="00FE3154" w:rsidP="00F85FF9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Utiliser</w:t>
            </w:r>
            <w:r w:rsidR="00F85FF9">
              <w:rPr>
                <w:lang w:val="fr-FR"/>
              </w:rPr>
              <w:t xml:space="preserve"> d’autres PSF comme la téléphonie pour distribuer le cash aux bénéficiaires</w:t>
            </w:r>
          </w:p>
        </w:tc>
      </w:tr>
      <w:tr w:rsidR="00382808" w:rsidRPr="001B2505" w:rsidTr="00382808">
        <w:trPr>
          <w:trHeight w:val="545"/>
        </w:trPr>
        <w:tc>
          <w:tcPr>
            <w:tcW w:w="1311" w:type="pct"/>
            <w:shd w:val="clear" w:color="auto" w:fill="A6A6A6"/>
            <w:vAlign w:val="center"/>
          </w:tcPr>
          <w:p w:rsidR="00367029" w:rsidRPr="00876CF3" w:rsidRDefault="000E446E" w:rsidP="00775D77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Risques liés à la sécurité des employés et des volontaires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67029" w:rsidRPr="00876CF3" w:rsidRDefault="00D53E08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</w:t>
            </w:r>
          </w:p>
        </w:tc>
        <w:tc>
          <w:tcPr>
            <w:tcW w:w="1062" w:type="pct"/>
            <w:shd w:val="clear" w:color="auto" w:fill="F3F3F3"/>
            <w:vAlign w:val="center"/>
          </w:tcPr>
          <w:p w:rsidR="00367029" w:rsidRPr="00876CF3" w:rsidRDefault="0056775B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</w:t>
            </w:r>
          </w:p>
        </w:tc>
        <w:tc>
          <w:tcPr>
            <w:tcW w:w="2170" w:type="pct"/>
            <w:shd w:val="clear" w:color="auto" w:fill="E6E6E6"/>
            <w:vAlign w:val="center"/>
          </w:tcPr>
          <w:p w:rsidR="003321F0" w:rsidRDefault="00D53E08" w:rsidP="00482005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Recruter</w:t>
            </w:r>
            <w:r w:rsidR="003321F0">
              <w:rPr>
                <w:lang w:val="fr-FR"/>
              </w:rPr>
              <w:t xml:space="preserve"> des employés/volontaires qualifiés et </w:t>
            </w:r>
            <w:r w:rsidR="00482005">
              <w:rPr>
                <w:lang w:val="fr-FR"/>
              </w:rPr>
              <w:t>dispen</w:t>
            </w:r>
            <w:r w:rsidR="003321F0">
              <w:rPr>
                <w:lang w:val="fr-FR"/>
              </w:rPr>
              <w:t xml:space="preserve">sez-leur une formation adéquate </w:t>
            </w:r>
            <w:r w:rsidR="00FE3154">
              <w:rPr>
                <w:lang w:val="fr-FR"/>
              </w:rPr>
              <w:t>pour la distribution du cash aux bénéficiaires</w:t>
            </w:r>
          </w:p>
          <w:p w:rsidR="00367029" w:rsidRPr="00876CF3" w:rsidRDefault="00D53E08" w:rsidP="00482005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Instaurer</w:t>
            </w:r>
            <w:r w:rsidR="003321F0">
              <w:rPr>
                <w:lang w:val="fr-FR"/>
              </w:rPr>
              <w:t xml:space="preserve"> une communication régulière avec les autorités nationales et locales, les parties prenantes et les </w:t>
            </w:r>
            <w:r w:rsidR="00482005">
              <w:rPr>
                <w:lang w:val="fr-FR"/>
              </w:rPr>
              <w:t>dirigeants communautaires</w:t>
            </w:r>
          </w:p>
          <w:p w:rsidR="00367029" w:rsidRPr="00876CF3" w:rsidRDefault="00D53E08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Choisir</w:t>
            </w:r>
            <w:r w:rsidR="003321F0">
              <w:rPr>
                <w:lang w:val="fr-FR"/>
              </w:rPr>
              <w:t xml:space="preserve"> un mécanisme de transfert</w:t>
            </w:r>
            <w:r w:rsidR="00482005">
              <w:rPr>
                <w:lang w:val="fr-FR"/>
              </w:rPr>
              <w:t>s</w:t>
            </w:r>
            <w:r w:rsidR="003321F0">
              <w:rPr>
                <w:lang w:val="fr-FR"/>
              </w:rPr>
              <w:t xml:space="preserve"> monétaire</w:t>
            </w:r>
            <w:r w:rsidR="00482005">
              <w:rPr>
                <w:lang w:val="fr-FR"/>
              </w:rPr>
              <w:t>s</w:t>
            </w:r>
            <w:r w:rsidR="003321F0">
              <w:rPr>
                <w:lang w:val="fr-FR"/>
              </w:rPr>
              <w:t xml:space="preserve"> approprié</w:t>
            </w:r>
          </w:p>
          <w:p w:rsidR="00367029" w:rsidRPr="00876CF3" w:rsidRDefault="003321F0" w:rsidP="00482005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Veillez à ce que le ciblage des bénéficiaires soit </w:t>
            </w:r>
            <w:r w:rsidR="00482005">
              <w:rPr>
                <w:lang w:val="fr-FR"/>
              </w:rPr>
              <w:t>mené de façon</w:t>
            </w:r>
            <w:r>
              <w:rPr>
                <w:lang w:val="fr-FR"/>
              </w:rPr>
              <w:t xml:space="preserve"> transparent</w:t>
            </w:r>
            <w:r w:rsidR="00482005">
              <w:rPr>
                <w:lang w:val="fr-FR"/>
              </w:rPr>
              <w:t>e et participative</w:t>
            </w:r>
          </w:p>
          <w:p w:rsidR="003321F0" w:rsidRDefault="00D53E08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Mettre</w:t>
            </w:r>
            <w:r w:rsidR="003321F0">
              <w:rPr>
                <w:lang w:val="fr-FR"/>
              </w:rPr>
              <w:t xml:space="preserve"> en place un mécanisme de plainte et de retour</w:t>
            </w:r>
            <w:r w:rsidR="00CD0468">
              <w:rPr>
                <w:lang w:val="fr-FR"/>
              </w:rPr>
              <w:t>s</w:t>
            </w:r>
            <w:r w:rsidR="003321F0">
              <w:rPr>
                <w:lang w:val="fr-FR"/>
              </w:rPr>
              <w:t xml:space="preserve"> d’information afin de permettre aux bénéficiaires de formuler des réclamations dans le calme</w:t>
            </w:r>
          </w:p>
          <w:p w:rsidR="003321F0" w:rsidRDefault="003321F0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Développ</w:t>
            </w:r>
            <w:r w:rsidR="00D53E08">
              <w:rPr>
                <w:lang w:val="fr-FR"/>
              </w:rPr>
              <w:t xml:space="preserve">er </w:t>
            </w:r>
            <w:r>
              <w:rPr>
                <w:lang w:val="fr-FR"/>
              </w:rPr>
              <w:t>de bonnes relations de travail avec les organisations non gouvernementales actives dans la même région</w:t>
            </w:r>
          </w:p>
          <w:p w:rsidR="00367029" w:rsidRPr="003321F0" w:rsidRDefault="00D53E08" w:rsidP="00043E58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Assurer</w:t>
            </w:r>
            <w:r w:rsidR="00043E58">
              <w:rPr>
                <w:lang w:val="fr-FR"/>
              </w:rPr>
              <w:t xml:space="preserve"> que les membres</w:t>
            </w:r>
            <w:r w:rsidR="003321F0">
              <w:rPr>
                <w:lang w:val="fr-FR"/>
              </w:rPr>
              <w:t xml:space="preserve"> de la communauté comprennent les conséquences de toute menace pour la sécurité (le programme peut être arrêté ou suspendu le cas échéant)</w:t>
            </w:r>
          </w:p>
        </w:tc>
      </w:tr>
      <w:tr w:rsidR="00382808" w:rsidRPr="001B2505" w:rsidTr="00382808">
        <w:tc>
          <w:tcPr>
            <w:tcW w:w="1311" w:type="pct"/>
            <w:shd w:val="clear" w:color="auto" w:fill="A6A6A6"/>
            <w:vAlign w:val="center"/>
          </w:tcPr>
          <w:p w:rsidR="00367029" w:rsidRPr="00876CF3" w:rsidRDefault="000E446E" w:rsidP="00775D77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Risques liés à la sécurité des bénéficiaires</w:t>
            </w:r>
          </w:p>
        </w:tc>
        <w:tc>
          <w:tcPr>
            <w:tcW w:w="457" w:type="pct"/>
            <w:shd w:val="clear" w:color="auto" w:fill="F3F3F3"/>
            <w:vAlign w:val="center"/>
          </w:tcPr>
          <w:p w:rsidR="00367029" w:rsidRPr="00876CF3" w:rsidRDefault="009452A8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</w:t>
            </w:r>
          </w:p>
        </w:tc>
        <w:tc>
          <w:tcPr>
            <w:tcW w:w="1062" w:type="pct"/>
            <w:shd w:val="clear" w:color="auto" w:fill="F3F3F3"/>
            <w:vAlign w:val="center"/>
          </w:tcPr>
          <w:p w:rsidR="00367029" w:rsidRPr="00876CF3" w:rsidRDefault="0056775B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</w:t>
            </w:r>
          </w:p>
        </w:tc>
        <w:tc>
          <w:tcPr>
            <w:tcW w:w="21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321F0" w:rsidRDefault="00CE254A" w:rsidP="00CD0468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Choisir</w:t>
            </w:r>
            <w:r w:rsidR="003321F0">
              <w:rPr>
                <w:lang w:val="fr-FR"/>
              </w:rPr>
              <w:t xml:space="preserve"> </w:t>
            </w:r>
            <w:r w:rsidR="00043E58">
              <w:rPr>
                <w:lang w:val="fr-FR"/>
              </w:rPr>
              <w:t>des opérations de secours/</w:t>
            </w:r>
            <w:r w:rsidR="003321F0">
              <w:rPr>
                <w:lang w:val="fr-FR"/>
              </w:rPr>
              <w:t xml:space="preserve">transferts monétaires appropriées et </w:t>
            </w:r>
            <w:r w:rsidR="00CD0468">
              <w:rPr>
                <w:lang w:val="fr-FR"/>
              </w:rPr>
              <w:t>associez</w:t>
            </w:r>
            <w:r w:rsidR="003321F0">
              <w:rPr>
                <w:lang w:val="fr-FR"/>
              </w:rPr>
              <w:t xml:space="preserve"> la communauté dans le processus</w:t>
            </w:r>
          </w:p>
          <w:p w:rsidR="00367029" w:rsidRPr="00876CF3" w:rsidRDefault="00CE254A" w:rsidP="00CD0468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Offrir </w:t>
            </w:r>
            <w:r w:rsidR="003321F0">
              <w:rPr>
                <w:lang w:val="fr-FR"/>
              </w:rPr>
              <w:t xml:space="preserve">aux bénéficiaires une certaine flexibilité concernant le lieu et </w:t>
            </w:r>
            <w:r w:rsidR="00607D0F">
              <w:rPr>
                <w:lang w:val="fr-FR"/>
              </w:rPr>
              <w:t>la date de réception des espèces (</w:t>
            </w:r>
            <w:r w:rsidR="00043E58">
              <w:rPr>
                <w:lang w:val="fr-FR"/>
              </w:rPr>
              <w:t xml:space="preserve">tous les bénéficiaires ne devraient pas recevoir les espèces à une </w:t>
            </w:r>
            <w:r w:rsidR="00CD0468">
              <w:rPr>
                <w:lang w:val="fr-FR"/>
              </w:rPr>
              <w:t>heure</w:t>
            </w:r>
            <w:r w:rsidR="00043E58">
              <w:rPr>
                <w:lang w:val="fr-FR"/>
              </w:rPr>
              <w:t xml:space="preserve"> précise ou le</w:t>
            </w:r>
            <w:r w:rsidR="00607D0F">
              <w:rPr>
                <w:lang w:val="fr-FR"/>
              </w:rPr>
              <w:t xml:space="preserve"> même jour)</w:t>
            </w:r>
          </w:p>
          <w:p w:rsidR="00367029" w:rsidRPr="00876CF3" w:rsidRDefault="00607D0F" w:rsidP="00CD0468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Veillez à ce que la distribution/le versement des espèces aux bénéficiaires soi</w:t>
            </w:r>
            <w:r w:rsidR="003E73B1">
              <w:rPr>
                <w:lang w:val="fr-FR"/>
              </w:rPr>
              <w:t>en</w:t>
            </w:r>
            <w:r>
              <w:rPr>
                <w:lang w:val="fr-FR"/>
              </w:rPr>
              <w:t>t effectué</w:t>
            </w:r>
            <w:r w:rsidR="003E73B1">
              <w:rPr>
                <w:lang w:val="fr-FR"/>
              </w:rPr>
              <w:t>s</w:t>
            </w:r>
            <w:r>
              <w:rPr>
                <w:lang w:val="fr-FR"/>
              </w:rPr>
              <w:t xml:space="preserve"> à temps pour </w:t>
            </w:r>
            <w:r w:rsidR="00CD0468">
              <w:rPr>
                <w:lang w:val="fr-FR"/>
              </w:rPr>
              <w:t xml:space="preserve">leur </w:t>
            </w:r>
            <w:r>
              <w:rPr>
                <w:lang w:val="fr-FR"/>
              </w:rPr>
              <w:t>permettre de rentrer chez eux avant la nuit</w:t>
            </w:r>
          </w:p>
          <w:p w:rsidR="00367029" w:rsidRPr="00CE254A" w:rsidRDefault="00CE254A" w:rsidP="00CE254A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Réfléchir</w:t>
            </w:r>
            <w:r w:rsidR="00607D0F">
              <w:rPr>
                <w:lang w:val="fr-FR"/>
              </w:rPr>
              <w:t xml:space="preserve"> aux risques liés à la sécurité des femmes et demandez l’avis de la communauté concernant la m</w:t>
            </w:r>
            <w:r w:rsidR="00CD0468">
              <w:rPr>
                <w:lang w:val="fr-FR"/>
              </w:rPr>
              <w:t xml:space="preserve">eilleure façon de réduire ou d’éviter </w:t>
            </w:r>
            <w:r w:rsidR="00607D0F">
              <w:rPr>
                <w:lang w:val="fr-FR"/>
              </w:rPr>
              <w:t>ces risques</w:t>
            </w:r>
          </w:p>
        </w:tc>
      </w:tr>
      <w:tr w:rsidR="00622B10" w:rsidRPr="001B2505" w:rsidTr="00382808">
        <w:trPr>
          <w:trHeight w:val="20"/>
        </w:trPr>
        <w:tc>
          <w:tcPr>
            <w:tcW w:w="1311" w:type="pct"/>
            <w:shd w:val="clear" w:color="auto" w:fill="A6A6A6"/>
            <w:vAlign w:val="center"/>
          </w:tcPr>
          <w:p w:rsidR="00367029" w:rsidRPr="00876CF3" w:rsidRDefault="00367029" w:rsidP="00775D77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 w:rsidRPr="00876CF3">
              <w:rPr>
                <w:rFonts w:cs="Arial"/>
                <w:b/>
                <w:lang w:val="fr-FR"/>
              </w:rPr>
              <w:t>Corruptio</w:t>
            </w:r>
            <w:r w:rsidR="00775D77" w:rsidRPr="00876CF3">
              <w:rPr>
                <w:rFonts w:cs="Arial"/>
                <w:b/>
                <w:lang w:val="fr-FR"/>
              </w:rPr>
              <w:t>n</w:t>
            </w:r>
            <w:r w:rsidRPr="00876CF3">
              <w:rPr>
                <w:rFonts w:cs="Arial"/>
                <w:b/>
                <w:lang w:val="fr-FR"/>
              </w:rPr>
              <w:t xml:space="preserve"> 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67029" w:rsidRPr="00876CF3" w:rsidRDefault="00BD2299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3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67029" w:rsidRPr="00876CF3" w:rsidRDefault="004C3083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</w:t>
            </w:r>
          </w:p>
        </w:tc>
        <w:tc>
          <w:tcPr>
            <w:tcW w:w="21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07D0F" w:rsidRDefault="003E0CAF" w:rsidP="00CD0468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Travailler</w:t>
            </w:r>
            <w:r w:rsidR="00607D0F">
              <w:rPr>
                <w:lang w:val="fr-FR"/>
              </w:rPr>
              <w:t xml:space="preserve"> en étroite collaboration avec les </w:t>
            </w:r>
            <w:r w:rsidR="00CD0468">
              <w:rPr>
                <w:lang w:val="fr-FR"/>
              </w:rPr>
              <w:t>dirigeants communautaires.</w:t>
            </w:r>
          </w:p>
          <w:p w:rsidR="00367029" w:rsidRPr="00876CF3" w:rsidRDefault="003E0CAF" w:rsidP="00CD0468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Communiquer</w:t>
            </w:r>
            <w:r w:rsidR="00043E58">
              <w:rPr>
                <w:lang w:val="fr-FR"/>
              </w:rPr>
              <w:t xml:space="preserve"> de manière ouverte</w:t>
            </w:r>
            <w:r w:rsidR="00607D0F">
              <w:rPr>
                <w:lang w:val="fr-FR"/>
              </w:rPr>
              <w:t xml:space="preserve"> avec les membres de la communauté </w:t>
            </w:r>
            <w:r w:rsidR="00CD0468">
              <w:rPr>
                <w:lang w:val="fr-FR"/>
              </w:rPr>
              <w:t>sur les questions liées au</w:t>
            </w:r>
            <w:r w:rsidR="00607D0F">
              <w:rPr>
                <w:lang w:val="fr-FR"/>
              </w:rPr>
              <w:t xml:space="preserve"> projet</w:t>
            </w:r>
          </w:p>
          <w:p w:rsidR="00367029" w:rsidRPr="00876CF3" w:rsidRDefault="003E0CAF" w:rsidP="000A02E3">
            <w:pPr>
              <w:pStyle w:val="BulletTableau"/>
              <w:framePr w:wrap="around"/>
              <w:spacing w:beforeLines="0" w:afterLines="0"/>
              <w:rPr>
                <w:lang w:val="fr-FR"/>
              </w:rPr>
            </w:pPr>
            <w:r>
              <w:rPr>
                <w:lang w:val="fr-FR"/>
              </w:rPr>
              <w:t>Utiliser</w:t>
            </w:r>
            <w:r w:rsidR="00607D0F">
              <w:rPr>
                <w:lang w:val="fr-FR"/>
              </w:rPr>
              <w:t xml:space="preserve"> des critères </w:t>
            </w:r>
            <w:r w:rsidR="00CD0468">
              <w:rPr>
                <w:lang w:val="fr-FR"/>
              </w:rPr>
              <w:t xml:space="preserve">de ciblage des bénéficiaires </w:t>
            </w:r>
            <w:r w:rsidR="00607D0F">
              <w:rPr>
                <w:lang w:val="fr-FR"/>
              </w:rPr>
              <w:t xml:space="preserve">vérifiables </w:t>
            </w:r>
            <w:r w:rsidR="003E73B1">
              <w:rPr>
                <w:lang w:val="fr-FR"/>
              </w:rPr>
              <w:t>et vérifiez les listes de</w:t>
            </w:r>
            <w:r w:rsidR="00607D0F">
              <w:rPr>
                <w:lang w:val="fr-FR"/>
              </w:rPr>
              <w:t xml:space="preserve"> bénéficiaires</w:t>
            </w:r>
          </w:p>
          <w:p w:rsidR="00367029" w:rsidRPr="00876CF3" w:rsidRDefault="003E0CAF" w:rsidP="000A02E3">
            <w:pPr>
              <w:pStyle w:val="BulletTableau"/>
              <w:framePr w:wrap="around"/>
              <w:spacing w:beforeLines="0" w:afterLines="0"/>
              <w:rPr>
                <w:lang w:val="fr-FR"/>
              </w:rPr>
            </w:pPr>
            <w:r>
              <w:rPr>
                <w:lang w:val="fr-FR"/>
              </w:rPr>
              <w:t>S’assurer</w:t>
            </w:r>
            <w:r w:rsidR="00607D0F">
              <w:rPr>
                <w:lang w:val="fr-FR"/>
              </w:rPr>
              <w:t xml:space="preserve"> que les bénéficiaires </w:t>
            </w:r>
            <w:r w:rsidR="00EB4F5A">
              <w:rPr>
                <w:lang w:val="fr-FR"/>
              </w:rPr>
              <w:t>s</w:t>
            </w:r>
            <w:r w:rsidR="005D0EA9">
              <w:rPr>
                <w:lang w:val="fr-FR"/>
              </w:rPr>
              <w:t>avent exactement ce à quoi</w:t>
            </w:r>
            <w:r w:rsidR="00607D0F">
              <w:rPr>
                <w:lang w:val="fr-FR"/>
              </w:rPr>
              <w:t xml:space="preserve"> ils ont droit</w:t>
            </w:r>
          </w:p>
          <w:p w:rsidR="00EB4F5A" w:rsidRDefault="003E0CAF" w:rsidP="000A02E3">
            <w:pPr>
              <w:pStyle w:val="BulletTableau"/>
              <w:framePr w:wrap="around"/>
              <w:spacing w:beforeLines="0" w:afterLines="0"/>
              <w:rPr>
                <w:lang w:val="fr-FR"/>
              </w:rPr>
            </w:pPr>
            <w:r>
              <w:rPr>
                <w:lang w:val="fr-FR"/>
              </w:rPr>
              <w:t>Effectuer</w:t>
            </w:r>
            <w:r w:rsidR="00EB4F5A">
              <w:rPr>
                <w:lang w:val="fr-FR"/>
              </w:rPr>
              <w:t xml:space="preserve"> un suivi </w:t>
            </w:r>
            <w:r w:rsidR="005D0EA9">
              <w:rPr>
                <w:lang w:val="fr-FR"/>
              </w:rPr>
              <w:t>post-</w:t>
            </w:r>
            <w:r w:rsidR="00EB4F5A">
              <w:rPr>
                <w:lang w:val="fr-FR"/>
              </w:rPr>
              <w:t xml:space="preserve"> distribution et demandez aux bénéficiaires si les montants reçus étaient corrects </w:t>
            </w:r>
          </w:p>
          <w:p w:rsidR="00EB4F5A" w:rsidRDefault="00EB4F5A" w:rsidP="000A02E3">
            <w:pPr>
              <w:pStyle w:val="BulletTableau"/>
              <w:framePr w:wrap="around"/>
              <w:spacing w:beforeLines="0" w:afterLines="0"/>
              <w:rPr>
                <w:lang w:val="fr-FR"/>
              </w:rPr>
            </w:pPr>
            <w:r>
              <w:rPr>
                <w:lang w:val="fr-FR"/>
              </w:rPr>
              <w:t>Veillez à ce que les bénéficiaires soient correctement identifiés lors du processus de paiement</w:t>
            </w:r>
          </w:p>
          <w:p w:rsidR="00367029" w:rsidRPr="00EB4F5A" w:rsidRDefault="003E0CAF" w:rsidP="000A02E3">
            <w:pPr>
              <w:pStyle w:val="BulletTableau"/>
              <w:framePr w:wrap="around"/>
              <w:spacing w:beforeLines="0" w:afterLines="0"/>
              <w:rPr>
                <w:lang w:val="fr-FR"/>
              </w:rPr>
            </w:pPr>
            <w:r>
              <w:rPr>
                <w:lang w:val="fr-FR"/>
              </w:rPr>
              <w:t xml:space="preserve">Mettre </w:t>
            </w:r>
            <w:r w:rsidR="00EB4F5A">
              <w:rPr>
                <w:lang w:val="fr-FR"/>
              </w:rPr>
              <w:t>en place un mécanisme clair de retour</w:t>
            </w:r>
            <w:r w:rsidR="005D0EA9">
              <w:rPr>
                <w:lang w:val="fr-FR"/>
              </w:rPr>
              <w:t>s</w:t>
            </w:r>
            <w:r w:rsidR="00EB4F5A">
              <w:rPr>
                <w:lang w:val="fr-FR"/>
              </w:rPr>
              <w:t xml:space="preserve"> d’information permettant aux membres de la communauté de mettre en avant les problèmes potentiels et garantissant une réaction rapide </w:t>
            </w:r>
            <w:r w:rsidR="005D0EA9">
              <w:rPr>
                <w:lang w:val="fr-FR"/>
              </w:rPr>
              <w:t>en cours de mise en œuvre</w:t>
            </w:r>
          </w:p>
        </w:tc>
      </w:tr>
      <w:tr w:rsidR="00382808" w:rsidRPr="001B2505" w:rsidTr="00382808">
        <w:trPr>
          <w:trHeight w:val="569"/>
        </w:trPr>
        <w:tc>
          <w:tcPr>
            <w:tcW w:w="1311" w:type="pct"/>
            <w:shd w:val="clear" w:color="auto" w:fill="A6A6A6"/>
            <w:vAlign w:val="center"/>
          </w:tcPr>
          <w:p w:rsidR="00367029" w:rsidRPr="00876CF3" w:rsidRDefault="00367029" w:rsidP="000E446E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 w:rsidRPr="00876CF3">
              <w:rPr>
                <w:rFonts w:cs="Arial"/>
                <w:b/>
                <w:lang w:val="fr-FR"/>
              </w:rPr>
              <w:t>Confli</w:t>
            </w:r>
            <w:r w:rsidR="000E446E">
              <w:rPr>
                <w:rFonts w:cs="Arial"/>
                <w:b/>
                <w:lang w:val="fr-FR"/>
              </w:rPr>
              <w:t>ts au sein de la communauté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67029" w:rsidRPr="00876CF3" w:rsidRDefault="003E0CAF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67029" w:rsidRPr="00876CF3" w:rsidRDefault="003E0CAF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</w:t>
            </w:r>
          </w:p>
        </w:tc>
        <w:tc>
          <w:tcPr>
            <w:tcW w:w="21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B4F5A" w:rsidRDefault="003D5EB8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Favoriser</w:t>
            </w:r>
            <w:r w:rsidR="00EB4F5A">
              <w:rPr>
                <w:lang w:val="fr-FR"/>
              </w:rPr>
              <w:t xml:space="preserve"> la mobilisation de la communauté et menez des activités de sensibilisation concernant l’objectif du projet et les bénéficiaires sélectionnés</w:t>
            </w:r>
          </w:p>
          <w:p w:rsidR="00367029" w:rsidRPr="00876CF3" w:rsidRDefault="003D5EB8" w:rsidP="00A574BB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S’assurer</w:t>
            </w:r>
            <w:r w:rsidR="00EB4F5A">
              <w:rPr>
                <w:lang w:val="fr-FR"/>
              </w:rPr>
              <w:t xml:space="preserve"> que les membres et les </w:t>
            </w:r>
            <w:r w:rsidR="00A574BB">
              <w:rPr>
                <w:lang w:val="fr-FR"/>
              </w:rPr>
              <w:t xml:space="preserve">dirigeants de la communauté sont associés à toutes les phases </w:t>
            </w:r>
            <w:r w:rsidR="00EB4F5A">
              <w:rPr>
                <w:lang w:val="fr-FR"/>
              </w:rPr>
              <w:t>du cycle de projets</w:t>
            </w:r>
          </w:p>
          <w:p w:rsidR="00367029" w:rsidRPr="00876CF3" w:rsidRDefault="003D5EB8" w:rsidP="0094398D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Faire</w:t>
            </w:r>
            <w:r w:rsidR="00EB4F5A">
              <w:rPr>
                <w:lang w:val="fr-FR"/>
              </w:rPr>
              <w:t xml:space="preserve"> un ciblage communautaire </w:t>
            </w:r>
            <w:r w:rsidR="00043E58">
              <w:rPr>
                <w:lang w:val="fr-FR"/>
              </w:rPr>
              <w:t>transparent</w:t>
            </w:r>
            <w:r w:rsidR="0094398D">
              <w:rPr>
                <w:lang w:val="fr-FR"/>
              </w:rPr>
              <w:t xml:space="preserve"> afin de</w:t>
            </w:r>
            <w:r w:rsidR="00EB4F5A">
              <w:rPr>
                <w:lang w:val="fr-FR"/>
              </w:rPr>
              <w:t xml:space="preserve"> réduire les tensions entre les bénéficiaires et les non-bénéficiaires</w:t>
            </w:r>
          </w:p>
          <w:p w:rsidR="00367029" w:rsidRPr="00876CF3" w:rsidRDefault="00EB4F5A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Veillez à ce que les paiements soient effectués à temps : les retards peuvent accroître la vulnérabilité des ménages visés et provoquer des tensions au sein de la communauté</w:t>
            </w:r>
          </w:p>
          <w:p w:rsidR="00367029" w:rsidRPr="00EB4F5A" w:rsidRDefault="003D5EB8" w:rsidP="00EB4F5A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Elaborer</w:t>
            </w:r>
            <w:r w:rsidR="00EB4F5A">
              <w:rPr>
                <w:lang w:val="fr-FR"/>
              </w:rPr>
              <w:t xml:space="preserve"> une stratégie de sortie claire afin de limiter les attentes</w:t>
            </w:r>
          </w:p>
        </w:tc>
      </w:tr>
      <w:tr w:rsidR="00382808" w:rsidRPr="001B2505" w:rsidTr="00382808">
        <w:tc>
          <w:tcPr>
            <w:tcW w:w="1311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367029" w:rsidRPr="00876CF3" w:rsidRDefault="006A63E4" w:rsidP="00775D77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Inflation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67029" w:rsidRPr="00876CF3" w:rsidRDefault="00D312A3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67029" w:rsidRPr="00876CF3" w:rsidRDefault="00993900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</w:t>
            </w:r>
          </w:p>
        </w:tc>
        <w:tc>
          <w:tcPr>
            <w:tcW w:w="21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67029" w:rsidRPr="00876CF3" w:rsidRDefault="006A63E4" w:rsidP="006A63E4">
            <w:pPr>
              <w:pStyle w:val="BulletTableau"/>
              <w:framePr w:wrap="around"/>
              <w:spacing w:beforeLines="0" w:afterLines="0"/>
              <w:rPr>
                <w:lang w:val="fr-FR"/>
              </w:rPr>
            </w:pPr>
            <w:r>
              <w:rPr>
                <w:lang w:val="fr-FR"/>
              </w:rPr>
              <w:t>Faire un suivi de</w:t>
            </w:r>
            <w:r w:rsidR="00EB4F5A">
              <w:rPr>
                <w:lang w:val="fr-FR"/>
              </w:rPr>
              <w:t xml:space="preserve"> prix des articles alimentaires et non alimentaires sur les marchés voisins </w:t>
            </w:r>
            <w:r>
              <w:rPr>
                <w:lang w:val="fr-FR"/>
              </w:rPr>
              <w:t xml:space="preserve">(marchés témoins) </w:t>
            </w:r>
            <w:r w:rsidR="00EB4F5A">
              <w:rPr>
                <w:lang w:val="fr-FR"/>
              </w:rPr>
              <w:t xml:space="preserve">afin de vous assurer que le marché </w:t>
            </w:r>
            <w:r w:rsidR="0008782B">
              <w:rPr>
                <w:lang w:val="fr-FR"/>
              </w:rPr>
              <w:t xml:space="preserve">de la région </w:t>
            </w:r>
            <w:r w:rsidR="009857C1">
              <w:rPr>
                <w:lang w:val="fr-FR"/>
              </w:rPr>
              <w:t>concernée</w:t>
            </w:r>
            <w:r w:rsidR="0008782B">
              <w:rPr>
                <w:lang w:val="fr-FR"/>
              </w:rPr>
              <w:t xml:space="preserve"> n’augmente pas les prix de manière déloyale</w:t>
            </w:r>
          </w:p>
          <w:p w:rsidR="00367029" w:rsidRPr="00007385" w:rsidRDefault="006A63E4" w:rsidP="006A63E4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Faire le suivi régulier des</w:t>
            </w:r>
            <w:r w:rsidR="0008782B">
              <w:rPr>
                <w:lang w:val="fr-FR"/>
              </w:rPr>
              <w:t xml:space="preserve"> taux de change afin de vous assurer que les espèces distribuées conservent leur valeur </w:t>
            </w:r>
            <w:r w:rsidR="00007385">
              <w:rPr>
                <w:lang w:val="fr-FR"/>
              </w:rPr>
              <w:t>en comparaison avec la valeur initiale des subventions</w:t>
            </w:r>
          </w:p>
        </w:tc>
      </w:tr>
      <w:tr w:rsidR="008422B2" w:rsidRPr="001B2505" w:rsidTr="00C05762">
        <w:tc>
          <w:tcPr>
            <w:tcW w:w="0" w:type="auto"/>
            <w:gridSpan w:val="4"/>
            <w:shd w:val="clear" w:color="auto" w:fill="E6E6E6"/>
            <w:vAlign w:val="center"/>
          </w:tcPr>
          <w:p w:rsidR="008422B2" w:rsidRPr="00876CF3" w:rsidRDefault="004B77A9" w:rsidP="004B77A9">
            <w:pPr>
              <w:spacing w:before="60" w:after="60"/>
              <w:rPr>
                <w:rFonts w:cs="Arial"/>
                <w:b/>
                <w:lang w:val="fr-FR"/>
              </w:rPr>
            </w:pPr>
            <w:r>
              <w:rPr>
                <w:b/>
                <w:lang w:val="fr-FR"/>
              </w:rPr>
              <w:t>Risques institutionnels</w:t>
            </w:r>
            <w:r w:rsidR="008422B2" w:rsidRPr="00876CF3">
              <w:rPr>
                <w:b/>
                <w:lang w:val="fr-FR"/>
              </w:rPr>
              <w:t xml:space="preserve"> (</w:t>
            </w:r>
            <w:r>
              <w:rPr>
                <w:b/>
                <w:lang w:val="fr-FR"/>
              </w:rPr>
              <w:t>risques financiers et stratégiques et risques pour la réputation</w:t>
            </w:r>
            <w:r w:rsidR="008422B2" w:rsidRPr="00876CF3">
              <w:rPr>
                <w:b/>
                <w:lang w:val="fr-FR"/>
              </w:rPr>
              <w:t>)</w:t>
            </w:r>
          </w:p>
        </w:tc>
      </w:tr>
      <w:tr w:rsidR="00382808" w:rsidRPr="001B2505" w:rsidTr="00382808">
        <w:trPr>
          <w:trHeight w:val="838"/>
        </w:trPr>
        <w:tc>
          <w:tcPr>
            <w:tcW w:w="1311" w:type="pct"/>
            <w:shd w:val="clear" w:color="auto" w:fill="A6A6A6"/>
            <w:vAlign w:val="center"/>
          </w:tcPr>
          <w:p w:rsidR="00367029" w:rsidRPr="00876CF3" w:rsidRDefault="00043E58" w:rsidP="000E446E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b/>
                <w:bCs/>
                <w:color w:val="000000"/>
                <w:lang w:val="fr-FR" w:eastAsia="en-GB"/>
              </w:rPr>
              <w:t>Redevabilité</w:t>
            </w:r>
            <w:r w:rsidR="00F42B9B" w:rsidRPr="00876CF3">
              <w:rPr>
                <w:rFonts w:cs="Arial"/>
                <w:b/>
                <w:bCs/>
                <w:color w:val="000000"/>
                <w:lang w:val="fr-FR" w:eastAsia="en-GB"/>
              </w:rPr>
              <w:t>, fraud</w:t>
            </w:r>
            <w:r w:rsidR="000E446E">
              <w:rPr>
                <w:rFonts w:cs="Arial"/>
                <w:b/>
                <w:bCs/>
                <w:color w:val="000000"/>
                <w:lang w:val="fr-FR" w:eastAsia="en-GB"/>
              </w:rPr>
              <w:t xml:space="preserve">e et </w:t>
            </w:r>
            <w:r w:rsidR="00F42B9B" w:rsidRPr="00876CF3">
              <w:rPr>
                <w:rFonts w:cs="Arial"/>
                <w:b/>
                <w:bCs/>
                <w:color w:val="000000"/>
                <w:lang w:val="fr-FR" w:eastAsia="en-GB"/>
              </w:rPr>
              <w:t>c</w:t>
            </w:r>
            <w:r w:rsidR="002C021E" w:rsidRPr="00876CF3">
              <w:rPr>
                <w:rFonts w:cs="Arial"/>
                <w:b/>
                <w:bCs/>
                <w:color w:val="000000"/>
                <w:lang w:val="fr-FR" w:eastAsia="en-GB"/>
              </w:rPr>
              <w:t>orruption</w:t>
            </w:r>
          </w:p>
        </w:tc>
        <w:tc>
          <w:tcPr>
            <w:tcW w:w="457" w:type="pct"/>
            <w:shd w:val="clear" w:color="auto" w:fill="F3F3F3"/>
          </w:tcPr>
          <w:p w:rsidR="00367029" w:rsidRDefault="00367029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</w:p>
          <w:p w:rsidR="00077E77" w:rsidRDefault="00077E77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</w:p>
          <w:p w:rsidR="00077E77" w:rsidRDefault="00077E77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</w:p>
          <w:p w:rsidR="003C7EF7" w:rsidRPr="00876CF3" w:rsidRDefault="00077E77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</w:t>
            </w:r>
          </w:p>
        </w:tc>
        <w:tc>
          <w:tcPr>
            <w:tcW w:w="1062" w:type="pct"/>
            <w:shd w:val="clear" w:color="auto" w:fill="F3F3F3"/>
            <w:vAlign w:val="center"/>
          </w:tcPr>
          <w:p w:rsidR="00367029" w:rsidRPr="00876CF3" w:rsidRDefault="00077E77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</w:t>
            </w:r>
          </w:p>
        </w:tc>
        <w:tc>
          <w:tcPr>
            <w:tcW w:w="2170" w:type="pct"/>
            <w:shd w:val="clear" w:color="auto" w:fill="E6E6E6"/>
            <w:vAlign w:val="center"/>
          </w:tcPr>
          <w:p w:rsidR="00007385" w:rsidRDefault="00077E77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Assurer</w:t>
            </w:r>
            <w:r w:rsidR="00007385">
              <w:rPr>
                <w:lang w:val="fr-FR"/>
              </w:rPr>
              <w:t xml:space="preserve"> que les transactions financières </w:t>
            </w:r>
            <w:r>
              <w:rPr>
                <w:lang w:val="fr-FR"/>
              </w:rPr>
              <w:t xml:space="preserve">soient </w:t>
            </w:r>
            <w:r w:rsidR="00007385">
              <w:rPr>
                <w:lang w:val="fr-FR"/>
              </w:rPr>
              <w:t>sécurisées</w:t>
            </w:r>
          </w:p>
          <w:p w:rsidR="00367029" w:rsidRPr="00876CF3" w:rsidRDefault="00077E77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Identifier</w:t>
            </w:r>
            <w:r w:rsidR="00007385">
              <w:rPr>
                <w:lang w:val="fr-FR"/>
              </w:rPr>
              <w:t xml:space="preserve"> toute possibilité de fraude à grande échelle</w:t>
            </w:r>
          </w:p>
          <w:p w:rsidR="00367029" w:rsidRPr="00007385" w:rsidRDefault="00077E77" w:rsidP="00007385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Identifier</w:t>
            </w:r>
            <w:r w:rsidR="00007385">
              <w:rPr>
                <w:lang w:val="fr-FR"/>
              </w:rPr>
              <w:t xml:space="preserve"> tout risque pour la réputation de l’organisation</w:t>
            </w:r>
          </w:p>
        </w:tc>
      </w:tr>
      <w:tr w:rsidR="00382808" w:rsidRPr="001B2505" w:rsidTr="00382808">
        <w:trPr>
          <w:trHeight w:val="1184"/>
        </w:trPr>
        <w:tc>
          <w:tcPr>
            <w:tcW w:w="1311" w:type="pct"/>
            <w:shd w:val="clear" w:color="auto" w:fill="A6A6A6"/>
            <w:vAlign w:val="center"/>
          </w:tcPr>
          <w:p w:rsidR="00367029" w:rsidRPr="00876CF3" w:rsidRDefault="000E446E" w:rsidP="000E446E">
            <w:pPr>
              <w:spacing w:before="20" w:after="20"/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bCs/>
                <w:color w:val="000000"/>
                <w:lang w:val="fr-FR" w:eastAsia="en-GB"/>
              </w:rPr>
              <w:t>Risques stratégiques pour la Société nationale</w:t>
            </w:r>
            <w:r>
              <w:rPr>
                <w:rFonts w:cs="Arial"/>
                <w:b/>
                <w:color w:val="000000"/>
                <w:lang w:val="fr-FR" w:eastAsia="en-GB"/>
              </w:rPr>
              <w:t>/le Mouvement</w:t>
            </w:r>
          </w:p>
        </w:tc>
        <w:tc>
          <w:tcPr>
            <w:tcW w:w="457" w:type="pct"/>
            <w:shd w:val="clear" w:color="auto" w:fill="F3F3F3"/>
          </w:tcPr>
          <w:p w:rsidR="00367029" w:rsidRDefault="00367029" w:rsidP="00775D77">
            <w:pPr>
              <w:spacing w:before="20" w:after="20"/>
              <w:jc w:val="left"/>
              <w:rPr>
                <w:rFonts w:cs="Arial"/>
                <w:i/>
                <w:lang w:val="fr-FR"/>
              </w:rPr>
            </w:pPr>
          </w:p>
          <w:p w:rsidR="003C7EF7" w:rsidRDefault="003C7EF7" w:rsidP="00775D77">
            <w:pPr>
              <w:spacing w:before="20" w:after="20"/>
              <w:jc w:val="left"/>
              <w:rPr>
                <w:rFonts w:cs="Arial"/>
                <w:i/>
                <w:lang w:val="fr-FR"/>
              </w:rPr>
            </w:pPr>
          </w:p>
          <w:p w:rsidR="003C7EF7" w:rsidRDefault="003C7EF7" w:rsidP="00775D77">
            <w:pPr>
              <w:spacing w:before="20" w:after="20"/>
              <w:jc w:val="left"/>
              <w:rPr>
                <w:rFonts w:cs="Arial"/>
                <w:i/>
                <w:lang w:val="fr-FR"/>
              </w:rPr>
            </w:pPr>
          </w:p>
          <w:p w:rsidR="003C7EF7" w:rsidRDefault="003C7EF7" w:rsidP="00775D77">
            <w:pPr>
              <w:spacing w:before="20" w:after="20"/>
              <w:jc w:val="left"/>
              <w:rPr>
                <w:rFonts w:cs="Arial"/>
                <w:i/>
                <w:lang w:val="fr-FR"/>
              </w:rPr>
            </w:pPr>
          </w:p>
          <w:p w:rsidR="003C7EF7" w:rsidRPr="00876CF3" w:rsidRDefault="00B3446E" w:rsidP="00775D77">
            <w:pPr>
              <w:spacing w:before="20" w:after="20"/>
              <w:jc w:val="left"/>
              <w:rPr>
                <w:rFonts w:cs="Arial"/>
                <w:i/>
                <w:lang w:val="fr-FR"/>
              </w:rPr>
            </w:pPr>
            <w:r w:rsidRPr="00B3446E">
              <w:rPr>
                <w:rFonts w:cs="Arial"/>
                <w:lang w:val="fr-FR"/>
              </w:rPr>
              <w:t>1</w:t>
            </w:r>
          </w:p>
        </w:tc>
        <w:tc>
          <w:tcPr>
            <w:tcW w:w="1062" w:type="pct"/>
            <w:shd w:val="clear" w:color="auto" w:fill="F3F3F3"/>
            <w:vAlign w:val="center"/>
          </w:tcPr>
          <w:p w:rsidR="00367029" w:rsidRPr="00876CF3" w:rsidRDefault="00B3446E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</w:t>
            </w:r>
          </w:p>
        </w:tc>
        <w:tc>
          <w:tcPr>
            <w:tcW w:w="2170" w:type="pct"/>
            <w:shd w:val="clear" w:color="auto" w:fill="E6E6E6"/>
            <w:vAlign w:val="center"/>
          </w:tcPr>
          <w:p w:rsidR="00007385" w:rsidRDefault="00007385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Veillez à ce que les PTM soient conformes aux réglementations nationales</w:t>
            </w:r>
          </w:p>
          <w:p w:rsidR="00367029" w:rsidRPr="00876CF3" w:rsidRDefault="00007385" w:rsidP="00775D77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Veillez à ce que les PTM soient conformes aux réglementations du Mouvement</w:t>
            </w:r>
          </w:p>
          <w:p w:rsidR="00367029" w:rsidRPr="00BF68B1" w:rsidRDefault="00BF68B1" w:rsidP="00BF68B1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Communiquer</w:t>
            </w:r>
            <w:r w:rsidR="00CA0FDA">
              <w:rPr>
                <w:lang w:val="fr-FR"/>
              </w:rPr>
              <w:t xml:space="preserve"> l</w:t>
            </w:r>
            <w:r w:rsidR="00007385">
              <w:rPr>
                <w:lang w:val="fr-FR"/>
              </w:rPr>
              <w:t>es procédures opérationnelles normalisées en vigueur à toutes les personnes concernées</w:t>
            </w:r>
          </w:p>
        </w:tc>
      </w:tr>
      <w:tr w:rsidR="00382808" w:rsidRPr="001B2505" w:rsidTr="00382808">
        <w:trPr>
          <w:trHeight w:val="573"/>
        </w:trPr>
        <w:tc>
          <w:tcPr>
            <w:tcW w:w="1311" w:type="pct"/>
            <w:shd w:val="clear" w:color="auto" w:fill="A6A6A6"/>
            <w:vAlign w:val="center"/>
          </w:tcPr>
          <w:p w:rsidR="00367029" w:rsidRPr="00876CF3" w:rsidRDefault="00CA0FDA" w:rsidP="00775D77">
            <w:pPr>
              <w:spacing w:before="20" w:after="20"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  <w:r>
              <w:rPr>
                <w:rFonts w:cs="Arial"/>
                <w:b/>
                <w:bCs/>
                <w:color w:val="000000"/>
                <w:lang w:val="fr-FR" w:eastAsia="en-GB"/>
              </w:rPr>
              <w:t>Relations</w:t>
            </w:r>
            <w:r w:rsidR="000E446E">
              <w:rPr>
                <w:rFonts w:cs="Arial"/>
                <w:b/>
                <w:bCs/>
                <w:color w:val="000000"/>
                <w:lang w:val="fr-FR" w:eastAsia="en-GB"/>
              </w:rPr>
              <w:t xml:space="preserve"> avec les autres acteurs</w:t>
            </w:r>
          </w:p>
        </w:tc>
        <w:tc>
          <w:tcPr>
            <w:tcW w:w="457" w:type="pct"/>
            <w:shd w:val="clear" w:color="auto" w:fill="F3F3F3"/>
          </w:tcPr>
          <w:p w:rsidR="00367029" w:rsidRDefault="000C3E91" w:rsidP="00775D77">
            <w:pPr>
              <w:spacing w:before="20" w:after="20"/>
              <w:contextualSpacing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  <w:r>
              <w:rPr>
                <w:rFonts w:cs="Arial"/>
                <w:b/>
                <w:bCs/>
                <w:color w:val="000000"/>
                <w:lang w:val="fr-FR" w:eastAsia="en-GB"/>
              </w:rPr>
              <w:br/>
            </w:r>
          </w:p>
          <w:p w:rsidR="000C3E91" w:rsidRDefault="000C3E91" w:rsidP="00775D77">
            <w:pPr>
              <w:spacing w:before="20" w:after="20"/>
              <w:contextualSpacing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</w:p>
          <w:p w:rsidR="000C3E91" w:rsidRPr="00876CF3" w:rsidRDefault="000C3E91" w:rsidP="00775D77">
            <w:pPr>
              <w:spacing w:before="20" w:after="20"/>
              <w:jc w:val="left"/>
              <w:rPr>
                <w:rFonts w:cs="Arial"/>
                <w:b/>
                <w:bCs/>
                <w:color w:val="000000"/>
                <w:lang w:val="fr-FR" w:eastAsia="en-GB"/>
              </w:rPr>
            </w:pPr>
            <w:r w:rsidRPr="00756068">
              <w:rPr>
                <w:rFonts w:cs="Arial"/>
                <w:lang w:val="fr-FR"/>
              </w:rPr>
              <w:t>1</w:t>
            </w:r>
          </w:p>
        </w:tc>
        <w:tc>
          <w:tcPr>
            <w:tcW w:w="1062" w:type="pct"/>
            <w:shd w:val="clear" w:color="auto" w:fill="F3F3F3"/>
            <w:vAlign w:val="center"/>
          </w:tcPr>
          <w:p w:rsidR="00367029" w:rsidRPr="00876CF3" w:rsidRDefault="000C3E91" w:rsidP="00775D77">
            <w:pPr>
              <w:spacing w:before="20" w:after="2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</w:t>
            </w:r>
          </w:p>
        </w:tc>
        <w:tc>
          <w:tcPr>
            <w:tcW w:w="217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67029" w:rsidRPr="005638AC" w:rsidRDefault="00F97A2E" w:rsidP="00F97A2E">
            <w:pPr>
              <w:pStyle w:val="BulletTableau"/>
              <w:framePr w:wrap="around"/>
              <w:spacing w:beforeLines="0" w:afterLines="0"/>
              <w:jc w:val="left"/>
              <w:rPr>
                <w:lang w:val="fr-FR"/>
              </w:rPr>
            </w:pPr>
            <w:r>
              <w:rPr>
                <w:lang w:val="fr-FR"/>
              </w:rPr>
              <w:t>Assurer</w:t>
            </w:r>
            <w:r w:rsidR="005638AC">
              <w:rPr>
                <w:lang w:val="fr-FR"/>
              </w:rPr>
              <w:t xml:space="preserve"> que les </w:t>
            </w:r>
            <w:r w:rsidR="00CA0FDA">
              <w:rPr>
                <w:lang w:val="fr-FR"/>
              </w:rPr>
              <w:t xml:space="preserve">opérations de transferts monétaires </w:t>
            </w:r>
            <w:r>
              <w:rPr>
                <w:lang w:val="fr-FR"/>
              </w:rPr>
              <w:t>soient</w:t>
            </w:r>
            <w:r w:rsidR="00CA0FDA">
              <w:rPr>
                <w:lang w:val="fr-FR"/>
              </w:rPr>
              <w:t xml:space="preserve"> en cohérence</w:t>
            </w:r>
            <w:r w:rsidR="005638AC">
              <w:rPr>
                <w:lang w:val="fr-FR"/>
              </w:rPr>
              <w:t xml:space="preserve"> avec les activités menées par d’autres acteurs humanitaires clés (montant des transferts, mécanismes de distribution, ciblage, etc.)</w:t>
            </w:r>
          </w:p>
        </w:tc>
      </w:tr>
    </w:tbl>
    <w:p w:rsidR="000F5173" w:rsidRPr="00876CF3" w:rsidRDefault="000F5173" w:rsidP="007030E8">
      <w:pPr>
        <w:tabs>
          <w:tab w:val="left" w:pos="6064"/>
        </w:tabs>
        <w:rPr>
          <w:rFonts w:cs="Arial"/>
          <w:lang w:val="fr-FR"/>
        </w:rPr>
      </w:pPr>
    </w:p>
    <w:sectPr w:rsidR="000F5173" w:rsidRPr="00876CF3" w:rsidSect="002617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956" w:bottom="1080" w:left="1134" w:header="426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E0D" w:rsidRDefault="00D04E0D" w:rsidP="009F17AC">
      <w:pPr>
        <w:spacing w:after="0"/>
      </w:pPr>
      <w:r>
        <w:separator/>
      </w:r>
    </w:p>
  </w:endnote>
  <w:endnote w:type="continuationSeparator" w:id="0">
    <w:p w:rsidR="00D04E0D" w:rsidRDefault="00D04E0D" w:rsidP="009F17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B4A" w:rsidRDefault="004736B3" w:rsidP="007E65C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10B4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10B4A" w:rsidRDefault="004736B3" w:rsidP="007E65C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10B4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10B4A" w:rsidRDefault="00A10B4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CC1" w:rsidRPr="00B45C74" w:rsidRDefault="004736B3" w:rsidP="00B45C74">
    <w:pPr>
      <w:framePr w:wrap="around" w:vAnchor="text" w:hAnchor="margin" w:xAlign="right" w:y="1"/>
      <w:tabs>
        <w:tab w:val="center" w:pos="4320"/>
        <w:tab w:val="right" w:pos="8640"/>
      </w:tabs>
      <w:spacing w:after="0"/>
      <w:rPr>
        <w:b/>
        <w:color w:val="808080" w:themeColor="background1" w:themeShade="80"/>
        <w:sz w:val="18"/>
        <w:szCs w:val="18"/>
      </w:rPr>
    </w:pPr>
    <w:r w:rsidRPr="00B45C74">
      <w:rPr>
        <w:b/>
        <w:color w:val="808080" w:themeColor="background1" w:themeShade="80"/>
        <w:sz w:val="18"/>
        <w:szCs w:val="18"/>
      </w:rPr>
      <w:fldChar w:fldCharType="begin"/>
    </w:r>
    <w:r w:rsidR="00E43CC1" w:rsidRPr="00B45C74">
      <w:rPr>
        <w:b/>
        <w:color w:val="808080" w:themeColor="background1" w:themeShade="80"/>
        <w:sz w:val="18"/>
        <w:szCs w:val="18"/>
      </w:rPr>
      <w:instrText xml:space="preserve">PAGE  </w:instrText>
    </w:r>
    <w:r w:rsidRPr="00B45C74">
      <w:rPr>
        <w:b/>
        <w:color w:val="808080" w:themeColor="background1" w:themeShade="80"/>
        <w:sz w:val="18"/>
        <w:szCs w:val="18"/>
      </w:rPr>
      <w:fldChar w:fldCharType="separate"/>
    </w:r>
    <w:r w:rsidR="00E735DC">
      <w:rPr>
        <w:b/>
        <w:noProof/>
        <w:color w:val="808080" w:themeColor="background1" w:themeShade="80"/>
        <w:sz w:val="18"/>
        <w:szCs w:val="18"/>
      </w:rPr>
      <w:t>1</w:t>
    </w:r>
    <w:r w:rsidRPr="00B45C74">
      <w:rPr>
        <w:b/>
        <w:color w:val="808080" w:themeColor="background1" w:themeShade="80"/>
        <w:sz w:val="18"/>
        <w:szCs w:val="18"/>
      </w:rPr>
      <w:fldChar w:fldCharType="end"/>
    </w:r>
  </w:p>
  <w:p w:rsidR="00E43CC1" w:rsidRPr="00876CF3" w:rsidRDefault="00E43CC1" w:rsidP="00ED1B2B">
    <w:pPr>
      <w:pStyle w:val="Pieddepage"/>
      <w:rPr>
        <w:lang w:val="fr-FR"/>
      </w:rPr>
    </w:pPr>
    <w:r w:rsidRPr="00876CF3">
      <w:rPr>
        <w:b/>
        <w:lang w:val="fr-FR"/>
      </w:rPr>
      <w:t>Module 3.</w:t>
    </w:r>
    <w:r w:rsidR="00876CF3">
      <w:rPr>
        <w:lang w:val="fr-FR"/>
      </w:rPr>
      <w:t xml:space="preserve"> Étape</w:t>
    </w:r>
    <w:r w:rsidRPr="00876CF3">
      <w:rPr>
        <w:lang w:val="fr-FR"/>
      </w:rPr>
      <w:t xml:space="preserve"> 1. </w:t>
    </w:r>
    <w:r w:rsidR="00876CF3">
      <w:rPr>
        <w:lang w:val="fr-FR"/>
      </w:rPr>
      <w:t>Étape subsidiaire</w:t>
    </w:r>
    <w:r w:rsidRPr="00876CF3">
      <w:rPr>
        <w:lang w:val="fr-FR"/>
      </w:rPr>
      <w:t xml:space="preserve"> 4. </w:t>
    </w:r>
    <w:fldSimple w:instr=" STYLEREF  H1 \t  \* MERGEFORMAT ">
      <w:r w:rsidR="00E735DC" w:rsidRPr="00E735DC">
        <w:rPr>
          <w:bCs/>
          <w:noProof/>
          <w:lang w:val="fr-FR"/>
        </w:rPr>
        <w:t>Modèle</w:t>
      </w:r>
      <w:r w:rsidR="00E735DC" w:rsidRPr="00E735DC">
        <w:rPr>
          <w:noProof/>
          <w:lang w:val="fr-FR"/>
        </w:rPr>
        <w:t xml:space="preserve"> de matrice des risques liés aux programmes de transferts monétaires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35" w:rsidRPr="001B2505" w:rsidRDefault="004736B3" w:rsidP="00B45C74">
    <w:pPr>
      <w:framePr w:wrap="around" w:vAnchor="text" w:hAnchor="margin" w:xAlign="right" w:y="1"/>
      <w:tabs>
        <w:tab w:val="center" w:pos="4320"/>
        <w:tab w:val="right" w:pos="8640"/>
      </w:tabs>
      <w:spacing w:after="0"/>
      <w:rPr>
        <w:b/>
        <w:color w:val="808080" w:themeColor="background1" w:themeShade="80"/>
        <w:sz w:val="18"/>
        <w:szCs w:val="18"/>
        <w:lang w:val="fr-CH"/>
      </w:rPr>
    </w:pPr>
    <w:r w:rsidRPr="00B45C74">
      <w:rPr>
        <w:b/>
        <w:color w:val="808080" w:themeColor="background1" w:themeShade="80"/>
        <w:sz w:val="18"/>
        <w:szCs w:val="18"/>
      </w:rPr>
      <w:fldChar w:fldCharType="begin"/>
    </w:r>
    <w:r w:rsidR="00C70C35" w:rsidRPr="001B2505">
      <w:rPr>
        <w:b/>
        <w:color w:val="808080" w:themeColor="background1" w:themeShade="80"/>
        <w:sz w:val="18"/>
        <w:szCs w:val="18"/>
        <w:lang w:val="fr-CH"/>
      </w:rPr>
      <w:instrText xml:space="preserve">PAGE  </w:instrText>
    </w:r>
    <w:r w:rsidRPr="00B45C74">
      <w:rPr>
        <w:b/>
        <w:color w:val="808080" w:themeColor="background1" w:themeShade="80"/>
        <w:sz w:val="18"/>
        <w:szCs w:val="18"/>
      </w:rPr>
      <w:fldChar w:fldCharType="separate"/>
    </w:r>
    <w:r w:rsidR="00261765" w:rsidRPr="001B2505">
      <w:rPr>
        <w:b/>
        <w:noProof/>
        <w:color w:val="808080" w:themeColor="background1" w:themeShade="80"/>
        <w:sz w:val="18"/>
        <w:szCs w:val="18"/>
        <w:lang w:val="fr-CH"/>
      </w:rPr>
      <w:t>1</w:t>
    </w:r>
    <w:r w:rsidRPr="00B45C74">
      <w:rPr>
        <w:b/>
        <w:color w:val="808080" w:themeColor="background1" w:themeShade="80"/>
        <w:sz w:val="18"/>
        <w:szCs w:val="18"/>
      </w:rPr>
      <w:fldChar w:fldCharType="end"/>
    </w:r>
  </w:p>
  <w:p w:rsidR="00C70C35" w:rsidRPr="001B2505" w:rsidRDefault="00C70C35" w:rsidP="00ED1B2B">
    <w:pPr>
      <w:pStyle w:val="Pieddepage"/>
      <w:rPr>
        <w:lang w:val="fr-CH"/>
      </w:rPr>
    </w:pPr>
    <w:r w:rsidRPr="001B2505">
      <w:rPr>
        <w:b/>
        <w:lang w:val="fr-CH"/>
      </w:rPr>
      <w:t>Module 3.</w:t>
    </w:r>
    <w:r w:rsidRPr="001B2505">
      <w:rPr>
        <w:lang w:val="fr-CH"/>
      </w:rPr>
      <w:t xml:space="preserve"> Step 1. Sub-step 4. </w:t>
    </w:r>
    <w:r w:rsidR="00CA0FDA">
      <w:fldChar w:fldCharType="begin"/>
    </w:r>
    <w:r w:rsidR="00CA0FDA" w:rsidRPr="001B2505">
      <w:rPr>
        <w:lang w:val="fr-CH"/>
      </w:rPr>
      <w:instrText xml:space="preserve"> STYLEREF  H1 \t  \* MERGEFORMAT </w:instrText>
    </w:r>
    <w:r w:rsidR="00CA0FDA">
      <w:fldChar w:fldCharType="separate"/>
    </w:r>
    <w:r w:rsidR="005C228D" w:rsidRPr="001B2505">
      <w:rPr>
        <w:bCs/>
        <w:noProof/>
        <w:lang w:val="fr-CH"/>
      </w:rPr>
      <w:t>Modèle de matrice des</w:t>
    </w:r>
    <w:r w:rsidR="005C228D" w:rsidRPr="001B2505">
      <w:rPr>
        <w:noProof/>
        <w:lang w:val="fr-CH"/>
      </w:rPr>
      <w:t xml:space="preserve"> risques liés aux programmes de transferts monétaires</w:t>
    </w:r>
    <w:r w:rsidR="00CA0F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E0D" w:rsidRDefault="00D04E0D" w:rsidP="009F17AC">
      <w:pPr>
        <w:spacing w:after="0"/>
      </w:pPr>
      <w:r>
        <w:separator/>
      </w:r>
    </w:p>
  </w:footnote>
  <w:footnote w:type="continuationSeparator" w:id="0">
    <w:p w:rsidR="00D04E0D" w:rsidRDefault="00D04E0D" w:rsidP="009F17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765" w:rsidRPr="00876CF3" w:rsidRDefault="00876CF3" w:rsidP="00CA1AB1">
    <w:pPr>
      <w:pStyle w:val="En-tte"/>
      <w:rPr>
        <w:sz w:val="14"/>
        <w:szCs w:val="14"/>
        <w:lang w:val="fr-FR"/>
      </w:rPr>
    </w:pPr>
    <w:r w:rsidRPr="00876CF3">
      <w:rPr>
        <w:rStyle w:val="Pantone485"/>
        <w:sz w:val="14"/>
        <w:szCs w:val="14"/>
        <w:lang w:val="fr-FR"/>
      </w:rPr>
      <w:t xml:space="preserve">Croix-Rouge </w:t>
    </w:r>
    <w:r w:rsidR="00BE5656">
      <w:rPr>
        <w:rStyle w:val="Pantone485"/>
        <w:sz w:val="14"/>
        <w:szCs w:val="14"/>
        <w:lang w:val="fr-FR"/>
      </w:rPr>
      <w:t>nigérienne</w:t>
    </w:r>
    <w:r w:rsidR="00261765" w:rsidRPr="00876CF3">
      <w:rPr>
        <w:rFonts w:cs="Caecilia-Light"/>
        <w:color w:val="FF0000"/>
        <w:sz w:val="14"/>
        <w:szCs w:val="14"/>
        <w:lang w:val="fr-FR"/>
      </w:rPr>
      <w:t xml:space="preserve"> </w:t>
    </w:r>
    <w:r w:rsidR="00261765" w:rsidRPr="00876CF3">
      <w:rPr>
        <w:rStyle w:val="Numrodepage"/>
        <w:bCs/>
        <w:sz w:val="14"/>
        <w:szCs w:val="14"/>
        <w:lang w:val="fr-FR"/>
      </w:rPr>
      <w:t>I</w:t>
    </w:r>
    <w:r w:rsidR="00261765" w:rsidRPr="00876CF3">
      <w:rPr>
        <w:rStyle w:val="Numrodepage"/>
        <w:color w:val="FF0000"/>
        <w:sz w:val="14"/>
        <w:szCs w:val="14"/>
        <w:lang w:val="fr-FR"/>
      </w:rPr>
      <w:t xml:space="preserve"> </w:t>
    </w:r>
    <w:r>
      <w:rPr>
        <w:b/>
        <w:sz w:val="14"/>
        <w:szCs w:val="14"/>
        <w:lang w:val="fr-FR"/>
      </w:rPr>
      <w:t xml:space="preserve">Boîte à outils pour </w:t>
    </w:r>
    <w:r w:rsidR="00CA1AB1">
      <w:rPr>
        <w:b/>
        <w:sz w:val="14"/>
        <w:szCs w:val="14"/>
        <w:lang w:val="fr-FR"/>
      </w:rPr>
      <w:t>les transferts monétaires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35" w:rsidRPr="00074036" w:rsidRDefault="00C70C35" w:rsidP="00173FF2">
    <w:pPr>
      <w:pStyle w:val="En-tte"/>
      <w:rPr>
        <w:szCs w:val="16"/>
      </w:rPr>
    </w:pPr>
    <w:r w:rsidRPr="004B5DA9">
      <w:rPr>
        <w:rStyle w:val="Pantone485"/>
      </w:rPr>
      <w:t>International Red Cross and Red Crescent Movement</w:t>
    </w:r>
    <w:r>
      <w:rPr>
        <w:rFonts w:cs="Caecilia-Light"/>
        <w:color w:val="FF0000"/>
        <w:szCs w:val="16"/>
      </w:rPr>
      <w:t xml:space="preserve"> </w:t>
    </w:r>
    <w:r w:rsidRPr="002B5D03">
      <w:rPr>
        <w:rStyle w:val="Numrodepage"/>
        <w:bCs/>
        <w:szCs w:val="16"/>
      </w:rPr>
      <w:t>I</w:t>
    </w:r>
    <w:r w:rsidRPr="009F6986">
      <w:rPr>
        <w:rStyle w:val="Numrodepage"/>
        <w:color w:val="FF0000"/>
        <w:szCs w:val="16"/>
      </w:rPr>
      <w:t xml:space="preserve"> </w:t>
    </w:r>
    <w:r w:rsidRPr="009F6986">
      <w:rPr>
        <w:b/>
        <w:szCs w:val="16"/>
      </w:rPr>
      <w:t>Cash in Emergenc</w:t>
    </w:r>
    <w:r>
      <w:rPr>
        <w:b/>
        <w:szCs w:val="16"/>
      </w:rPr>
      <w:t>ies</w:t>
    </w:r>
    <w:r w:rsidRPr="009F6986">
      <w:rPr>
        <w:b/>
        <w:szCs w:val="16"/>
      </w:rPr>
      <w:t xml:space="preserve"> Toolkit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15E"/>
    <w:multiLevelType w:val="hybridMultilevel"/>
    <w:tmpl w:val="201E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33309"/>
    <w:multiLevelType w:val="hybridMultilevel"/>
    <w:tmpl w:val="24DC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25F14"/>
    <w:multiLevelType w:val="hybridMultilevel"/>
    <w:tmpl w:val="BDB6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45CD5"/>
    <w:multiLevelType w:val="hybridMultilevel"/>
    <w:tmpl w:val="384C0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F7D25"/>
    <w:multiLevelType w:val="hybridMultilevel"/>
    <w:tmpl w:val="1D20BF0E"/>
    <w:lvl w:ilvl="0" w:tplc="18D88CC4">
      <w:start w:val="1"/>
      <w:numFmt w:val="decimal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F137D"/>
    <w:multiLevelType w:val="hybridMultilevel"/>
    <w:tmpl w:val="A2E6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F65A77"/>
    <w:multiLevelType w:val="hybridMultilevel"/>
    <w:tmpl w:val="9A88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47361"/>
    <w:multiLevelType w:val="hybridMultilevel"/>
    <w:tmpl w:val="910E62A4"/>
    <w:lvl w:ilvl="0" w:tplc="A58EB5E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813952"/>
    <w:multiLevelType w:val="hybridMultilevel"/>
    <w:tmpl w:val="6056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F2403"/>
    <w:multiLevelType w:val="hybridMultilevel"/>
    <w:tmpl w:val="5D7817D4"/>
    <w:lvl w:ilvl="0" w:tplc="33825C6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37C65"/>
    <w:multiLevelType w:val="hybridMultilevel"/>
    <w:tmpl w:val="5AF28E5C"/>
    <w:lvl w:ilvl="0" w:tplc="03BA573A">
      <w:start w:val="1"/>
      <w:numFmt w:val="decimal"/>
      <w:lvlText w:val="%1."/>
      <w:lvlJc w:val="left"/>
      <w:pPr>
        <w:ind w:left="43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2">
    <w:nsid w:val="391110E6"/>
    <w:multiLevelType w:val="hybridMultilevel"/>
    <w:tmpl w:val="D37A6FEA"/>
    <w:lvl w:ilvl="0" w:tplc="040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>
    <w:nsid w:val="4A03238D"/>
    <w:multiLevelType w:val="hybridMultilevel"/>
    <w:tmpl w:val="02221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87277"/>
    <w:multiLevelType w:val="hybridMultilevel"/>
    <w:tmpl w:val="DB5607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15">
    <w:nsid w:val="54ED5E1B"/>
    <w:multiLevelType w:val="hybridMultilevel"/>
    <w:tmpl w:val="A4E2E4E4"/>
    <w:lvl w:ilvl="0" w:tplc="2B7CC386">
      <w:start w:val="1"/>
      <w:numFmt w:val="decimal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8325C"/>
    <w:multiLevelType w:val="hybridMultilevel"/>
    <w:tmpl w:val="421A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C0EAA"/>
    <w:multiLevelType w:val="hybridMultilevel"/>
    <w:tmpl w:val="7FE6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5C7E23"/>
    <w:multiLevelType w:val="hybridMultilevel"/>
    <w:tmpl w:val="92706D8A"/>
    <w:lvl w:ilvl="0" w:tplc="CAD4AE2E">
      <w:start w:val="1"/>
      <w:numFmt w:val="bullet"/>
      <w:pStyle w:val="Bullet3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53405"/>
    <w:multiLevelType w:val="hybridMultilevel"/>
    <w:tmpl w:val="E12A858A"/>
    <w:lvl w:ilvl="0" w:tplc="E5429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240ED"/>
    <w:multiLevelType w:val="hybridMultilevel"/>
    <w:tmpl w:val="0F8E2298"/>
    <w:lvl w:ilvl="0" w:tplc="E5429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C0B7C"/>
    <w:multiLevelType w:val="hybridMultilevel"/>
    <w:tmpl w:val="9AC88036"/>
    <w:lvl w:ilvl="0" w:tplc="E5429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705805"/>
    <w:multiLevelType w:val="hybridMultilevel"/>
    <w:tmpl w:val="100E5942"/>
    <w:lvl w:ilvl="0" w:tplc="E542903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3"/>
  </w:num>
  <w:num w:numId="5">
    <w:abstractNumId w:val="13"/>
  </w:num>
  <w:num w:numId="6">
    <w:abstractNumId w:val="24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17"/>
  </w:num>
  <w:num w:numId="12">
    <w:abstractNumId w:val="16"/>
  </w:num>
  <w:num w:numId="13">
    <w:abstractNumId w:val="21"/>
  </w:num>
  <w:num w:numId="14">
    <w:abstractNumId w:val="1"/>
  </w:num>
  <w:num w:numId="15">
    <w:abstractNumId w:val="14"/>
  </w:num>
  <w:num w:numId="16">
    <w:abstractNumId w:val="5"/>
  </w:num>
  <w:num w:numId="17">
    <w:abstractNumId w:val="22"/>
  </w:num>
  <w:num w:numId="18">
    <w:abstractNumId w:val="0"/>
  </w:num>
  <w:num w:numId="19">
    <w:abstractNumId w:val="3"/>
  </w:num>
  <w:num w:numId="20">
    <w:abstractNumId w:val="4"/>
  </w:num>
  <w:num w:numId="21">
    <w:abstractNumId w:val="15"/>
  </w:num>
  <w:num w:numId="22">
    <w:abstractNumId w:val="9"/>
  </w:num>
  <w:num w:numId="23">
    <w:abstractNumId w:val="18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66"/>
    <w:rsid w:val="00007385"/>
    <w:rsid w:val="00013693"/>
    <w:rsid w:val="000151E2"/>
    <w:rsid w:val="0001528D"/>
    <w:rsid w:val="00016828"/>
    <w:rsid w:val="0002045F"/>
    <w:rsid w:val="00022D60"/>
    <w:rsid w:val="0002379E"/>
    <w:rsid w:val="00031586"/>
    <w:rsid w:val="00032432"/>
    <w:rsid w:val="00035641"/>
    <w:rsid w:val="00035BB4"/>
    <w:rsid w:val="0003766D"/>
    <w:rsid w:val="00037FC8"/>
    <w:rsid w:val="0004307C"/>
    <w:rsid w:val="00043E58"/>
    <w:rsid w:val="000440E6"/>
    <w:rsid w:val="0004447C"/>
    <w:rsid w:val="000454B0"/>
    <w:rsid w:val="0004592F"/>
    <w:rsid w:val="00046589"/>
    <w:rsid w:val="00047047"/>
    <w:rsid w:val="00056DB7"/>
    <w:rsid w:val="000631B3"/>
    <w:rsid w:val="0007128C"/>
    <w:rsid w:val="00076CF6"/>
    <w:rsid w:val="00077E77"/>
    <w:rsid w:val="00080236"/>
    <w:rsid w:val="00086DFA"/>
    <w:rsid w:val="0008782B"/>
    <w:rsid w:val="00090EA8"/>
    <w:rsid w:val="00092C23"/>
    <w:rsid w:val="00092C4C"/>
    <w:rsid w:val="000A02E3"/>
    <w:rsid w:val="000A2F9C"/>
    <w:rsid w:val="000A6F67"/>
    <w:rsid w:val="000B108D"/>
    <w:rsid w:val="000B1792"/>
    <w:rsid w:val="000B7123"/>
    <w:rsid w:val="000C1AB6"/>
    <w:rsid w:val="000C3E91"/>
    <w:rsid w:val="000C7DC3"/>
    <w:rsid w:val="000D4D05"/>
    <w:rsid w:val="000E0B4C"/>
    <w:rsid w:val="000E446E"/>
    <w:rsid w:val="000F467B"/>
    <w:rsid w:val="000F4A06"/>
    <w:rsid w:val="000F5173"/>
    <w:rsid w:val="000F7628"/>
    <w:rsid w:val="0010318B"/>
    <w:rsid w:val="00103AD2"/>
    <w:rsid w:val="00104E1E"/>
    <w:rsid w:val="00110FB0"/>
    <w:rsid w:val="00112D9B"/>
    <w:rsid w:val="00114BA6"/>
    <w:rsid w:val="00122DBE"/>
    <w:rsid w:val="001239B8"/>
    <w:rsid w:val="00126B26"/>
    <w:rsid w:val="00130822"/>
    <w:rsid w:val="001469CE"/>
    <w:rsid w:val="0015023A"/>
    <w:rsid w:val="00153F5F"/>
    <w:rsid w:val="001556E3"/>
    <w:rsid w:val="00162096"/>
    <w:rsid w:val="0016673E"/>
    <w:rsid w:val="001678D3"/>
    <w:rsid w:val="00167F5B"/>
    <w:rsid w:val="00171770"/>
    <w:rsid w:val="001743E5"/>
    <w:rsid w:val="001756CA"/>
    <w:rsid w:val="00175DBF"/>
    <w:rsid w:val="00176459"/>
    <w:rsid w:val="00176F0D"/>
    <w:rsid w:val="00177BBF"/>
    <w:rsid w:val="0018206E"/>
    <w:rsid w:val="0018500F"/>
    <w:rsid w:val="001878E6"/>
    <w:rsid w:val="00190030"/>
    <w:rsid w:val="00197636"/>
    <w:rsid w:val="001A23BE"/>
    <w:rsid w:val="001A503B"/>
    <w:rsid w:val="001A5149"/>
    <w:rsid w:val="001B1307"/>
    <w:rsid w:val="001B1B44"/>
    <w:rsid w:val="001B2505"/>
    <w:rsid w:val="001B37D4"/>
    <w:rsid w:val="001B4811"/>
    <w:rsid w:val="001B6794"/>
    <w:rsid w:val="001C0615"/>
    <w:rsid w:val="001C17D0"/>
    <w:rsid w:val="001D00B7"/>
    <w:rsid w:val="001D2397"/>
    <w:rsid w:val="001D3D8E"/>
    <w:rsid w:val="001D6754"/>
    <w:rsid w:val="001E263C"/>
    <w:rsid w:val="001E3EB2"/>
    <w:rsid w:val="001F115D"/>
    <w:rsid w:val="001F1AD4"/>
    <w:rsid w:val="001F2CEC"/>
    <w:rsid w:val="001F4A01"/>
    <w:rsid w:val="001F6715"/>
    <w:rsid w:val="0020156D"/>
    <w:rsid w:val="002017C8"/>
    <w:rsid w:val="002052CD"/>
    <w:rsid w:val="0020619B"/>
    <w:rsid w:val="002133B9"/>
    <w:rsid w:val="002136D9"/>
    <w:rsid w:val="00213C27"/>
    <w:rsid w:val="00214372"/>
    <w:rsid w:val="00214BE8"/>
    <w:rsid w:val="0021612C"/>
    <w:rsid w:val="00216435"/>
    <w:rsid w:val="00217009"/>
    <w:rsid w:val="00217DE9"/>
    <w:rsid w:val="002232FD"/>
    <w:rsid w:val="002240C9"/>
    <w:rsid w:val="002254BC"/>
    <w:rsid w:val="002266BA"/>
    <w:rsid w:val="00234A56"/>
    <w:rsid w:val="002402B8"/>
    <w:rsid w:val="00241436"/>
    <w:rsid w:val="00242F69"/>
    <w:rsid w:val="002458F6"/>
    <w:rsid w:val="00254999"/>
    <w:rsid w:val="00261765"/>
    <w:rsid w:val="00270868"/>
    <w:rsid w:val="00271F0A"/>
    <w:rsid w:val="002723C8"/>
    <w:rsid w:val="00277D5F"/>
    <w:rsid w:val="00281A8C"/>
    <w:rsid w:val="00282E1F"/>
    <w:rsid w:val="0028435D"/>
    <w:rsid w:val="002925EE"/>
    <w:rsid w:val="002937CF"/>
    <w:rsid w:val="002946C0"/>
    <w:rsid w:val="00296CB4"/>
    <w:rsid w:val="00297E50"/>
    <w:rsid w:val="002A0C8A"/>
    <w:rsid w:val="002A517D"/>
    <w:rsid w:val="002B30FA"/>
    <w:rsid w:val="002B6BB9"/>
    <w:rsid w:val="002C021E"/>
    <w:rsid w:val="002C10C0"/>
    <w:rsid w:val="002C5625"/>
    <w:rsid w:val="002D2E06"/>
    <w:rsid w:val="002D490B"/>
    <w:rsid w:val="002D52D7"/>
    <w:rsid w:val="002E0259"/>
    <w:rsid w:val="002E24F1"/>
    <w:rsid w:val="002E3933"/>
    <w:rsid w:val="002E4A8C"/>
    <w:rsid w:val="002E6505"/>
    <w:rsid w:val="002F17AD"/>
    <w:rsid w:val="002F7239"/>
    <w:rsid w:val="003024EA"/>
    <w:rsid w:val="0030405F"/>
    <w:rsid w:val="00310174"/>
    <w:rsid w:val="00317388"/>
    <w:rsid w:val="00320610"/>
    <w:rsid w:val="003239DC"/>
    <w:rsid w:val="00324B6E"/>
    <w:rsid w:val="00331A0E"/>
    <w:rsid w:val="003321F0"/>
    <w:rsid w:val="00336FDA"/>
    <w:rsid w:val="00337857"/>
    <w:rsid w:val="0034179F"/>
    <w:rsid w:val="00342ABC"/>
    <w:rsid w:val="00344DC9"/>
    <w:rsid w:val="003502B5"/>
    <w:rsid w:val="003550CD"/>
    <w:rsid w:val="00355DB6"/>
    <w:rsid w:val="00360569"/>
    <w:rsid w:val="00360FFB"/>
    <w:rsid w:val="00367029"/>
    <w:rsid w:val="00371EB5"/>
    <w:rsid w:val="003722B7"/>
    <w:rsid w:val="00372795"/>
    <w:rsid w:val="00372CAD"/>
    <w:rsid w:val="0037349E"/>
    <w:rsid w:val="003762AB"/>
    <w:rsid w:val="00376C33"/>
    <w:rsid w:val="00382808"/>
    <w:rsid w:val="00383266"/>
    <w:rsid w:val="0038612B"/>
    <w:rsid w:val="00395FA5"/>
    <w:rsid w:val="00397E8F"/>
    <w:rsid w:val="003A3F05"/>
    <w:rsid w:val="003A4E16"/>
    <w:rsid w:val="003A6859"/>
    <w:rsid w:val="003B403D"/>
    <w:rsid w:val="003B686E"/>
    <w:rsid w:val="003B7F40"/>
    <w:rsid w:val="003C447F"/>
    <w:rsid w:val="003C4FF2"/>
    <w:rsid w:val="003C5DCF"/>
    <w:rsid w:val="003C756E"/>
    <w:rsid w:val="003C7EF7"/>
    <w:rsid w:val="003D5EB8"/>
    <w:rsid w:val="003E0CAF"/>
    <w:rsid w:val="003E615F"/>
    <w:rsid w:val="003E73B1"/>
    <w:rsid w:val="003E7CC6"/>
    <w:rsid w:val="003F08A8"/>
    <w:rsid w:val="003F4D8A"/>
    <w:rsid w:val="003F782F"/>
    <w:rsid w:val="00400E54"/>
    <w:rsid w:val="004024B3"/>
    <w:rsid w:val="004026F7"/>
    <w:rsid w:val="00402C6F"/>
    <w:rsid w:val="00405ECF"/>
    <w:rsid w:val="00406F6D"/>
    <w:rsid w:val="00407E82"/>
    <w:rsid w:val="004109F0"/>
    <w:rsid w:val="00411093"/>
    <w:rsid w:val="00412A67"/>
    <w:rsid w:val="00412D22"/>
    <w:rsid w:val="00421AF7"/>
    <w:rsid w:val="00432501"/>
    <w:rsid w:val="00434784"/>
    <w:rsid w:val="00434ACC"/>
    <w:rsid w:val="00446BA3"/>
    <w:rsid w:val="00452FF5"/>
    <w:rsid w:val="0045564F"/>
    <w:rsid w:val="004557C1"/>
    <w:rsid w:val="00462A11"/>
    <w:rsid w:val="0046343A"/>
    <w:rsid w:val="00465ED0"/>
    <w:rsid w:val="00470EBE"/>
    <w:rsid w:val="004736B3"/>
    <w:rsid w:val="00473D0D"/>
    <w:rsid w:val="00473E42"/>
    <w:rsid w:val="00482005"/>
    <w:rsid w:val="00482026"/>
    <w:rsid w:val="00482168"/>
    <w:rsid w:val="00483C30"/>
    <w:rsid w:val="004863E6"/>
    <w:rsid w:val="004872CC"/>
    <w:rsid w:val="004878C3"/>
    <w:rsid w:val="0049011E"/>
    <w:rsid w:val="0049251C"/>
    <w:rsid w:val="00495DCA"/>
    <w:rsid w:val="00496D2E"/>
    <w:rsid w:val="004A1F18"/>
    <w:rsid w:val="004A2255"/>
    <w:rsid w:val="004A43DA"/>
    <w:rsid w:val="004A4497"/>
    <w:rsid w:val="004B236A"/>
    <w:rsid w:val="004B3A3B"/>
    <w:rsid w:val="004B5775"/>
    <w:rsid w:val="004B5B05"/>
    <w:rsid w:val="004B5B94"/>
    <w:rsid w:val="004B77A9"/>
    <w:rsid w:val="004C3083"/>
    <w:rsid w:val="004C3CBC"/>
    <w:rsid w:val="004D737B"/>
    <w:rsid w:val="004D7C8E"/>
    <w:rsid w:val="004E03E5"/>
    <w:rsid w:val="004E40F6"/>
    <w:rsid w:val="004E7581"/>
    <w:rsid w:val="004F083A"/>
    <w:rsid w:val="004F27BD"/>
    <w:rsid w:val="004F2F08"/>
    <w:rsid w:val="004F7CB0"/>
    <w:rsid w:val="004F7EB3"/>
    <w:rsid w:val="00502BAC"/>
    <w:rsid w:val="00502CCB"/>
    <w:rsid w:val="00511BCA"/>
    <w:rsid w:val="00511FBB"/>
    <w:rsid w:val="005212AB"/>
    <w:rsid w:val="005236E0"/>
    <w:rsid w:val="00526149"/>
    <w:rsid w:val="0052794C"/>
    <w:rsid w:val="00531F99"/>
    <w:rsid w:val="00535BE6"/>
    <w:rsid w:val="0053757D"/>
    <w:rsid w:val="00540300"/>
    <w:rsid w:val="00540424"/>
    <w:rsid w:val="005411FD"/>
    <w:rsid w:val="00543EB2"/>
    <w:rsid w:val="00545844"/>
    <w:rsid w:val="00547FE2"/>
    <w:rsid w:val="005638AC"/>
    <w:rsid w:val="0056775B"/>
    <w:rsid w:val="005713BC"/>
    <w:rsid w:val="00572A94"/>
    <w:rsid w:val="0058137E"/>
    <w:rsid w:val="00581B1F"/>
    <w:rsid w:val="00584D69"/>
    <w:rsid w:val="0059496F"/>
    <w:rsid w:val="005A22F8"/>
    <w:rsid w:val="005A2C3A"/>
    <w:rsid w:val="005C228D"/>
    <w:rsid w:val="005C6185"/>
    <w:rsid w:val="005D0EA9"/>
    <w:rsid w:val="005D1501"/>
    <w:rsid w:val="005D6A87"/>
    <w:rsid w:val="005D73F2"/>
    <w:rsid w:val="005E04A1"/>
    <w:rsid w:val="005E07B3"/>
    <w:rsid w:val="005E0EB6"/>
    <w:rsid w:val="005E1403"/>
    <w:rsid w:val="005E4825"/>
    <w:rsid w:val="005F18D4"/>
    <w:rsid w:val="005F3891"/>
    <w:rsid w:val="005F4ECE"/>
    <w:rsid w:val="005F675D"/>
    <w:rsid w:val="005F7EAC"/>
    <w:rsid w:val="00604F25"/>
    <w:rsid w:val="0060753A"/>
    <w:rsid w:val="00607D0F"/>
    <w:rsid w:val="00613114"/>
    <w:rsid w:val="00620C76"/>
    <w:rsid w:val="00621904"/>
    <w:rsid w:val="00622B10"/>
    <w:rsid w:val="00623360"/>
    <w:rsid w:val="00626783"/>
    <w:rsid w:val="0063573C"/>
    <w:rsid w:val="00637F5F"/>
    <w:rsid w:val="00641AB8"/>
    <w:rsid w:val="00645500"/>
    <w:rsid w:val="006459F8"/>
    <w:rsid w:val="00660AE7"/>
    <w:rsid w:val="00661ED6"/>
    <w:rsid w:val="00667546"/>
    <w:rsid w:val="00670262"/>
    <w:rsid w:val="00673D27"/>
    <w:rsid w:val="0067469B"/>
    <w:rsid w:val="0067624B"/>
    <w:rsid w:val="0068166B"/>
    <w:rsid w:val="00684DAC"/>
    <w:rsid w:val="006917C8"/>
    <w:rsid w:val="006948B9"/>
    <w:rsid w:val="0069550B"/>
    <w:rsid w:val="00695D44"/>
    <w:rsid w:val="006972DE"/>
    <w:rsid w:val="006A63E4"/>
    <w:rsid w:val="006A730B"/>
    <w:rsid w:val="006B44F0"/>
    <w:rsid w:val="006B6880"/>
    <w:rsid w:val="006C0212"/>
    <w:rsid w:val="006C3B74"/>
    <w:rsid w:val="006C61F0"/>
    <w:rsid w:val="006D1DF0"/>
    <w:rsid w:val="006D2487"/>
    <w:rsid w:val="006D48B6"/>
    <w:rsid w:val="006D7A0E"/>
    <w:rsid w:val="006E214C"/>
    <w:rsid w:val="006E24BC"/>
    <w:rsid w:val="006E28CF"/>
    <w:rsid w:val="006E3FB6"/>
    <w:rsid w:val="006F3084"/>
    <w:rsid w:val="006F44C4"/>
    <w:rsid w:val="006F5DE1"/>
    <w:rsid w:val="006F63D2"/>
    <w:rsid w:val="007030E8"/>
    <w:rsid w:val="00706F3F"/>
    <w:rsid w:val="00710172"/>
    <w:rsid w:val="00712BC2"/>
    <w:rsid w:val="0071343A"/>
    <w:rsid w:val="00713955"/>
    <w:rsid w:val="00713D86"/>
    <w:rsid w:val="00713DF7"/>
    <w:rsid w:val="007164DF"/>
    <w:rsid w:val="0071750A"/>
    <w:rsid w:val="007234FB"/>
    <w:rsid w:val="0073056C"/>
    <w:rsid w:val="00731896"/>
    <w:rsid w:val="0073217C"/>
    <w:rsid w:val="00732511"/>
    <w:rsid w:val="007348A0"/>
    <w:rsid w:val="007348FE"/>
    <w:rsid w:val="00736322"/>
    <w:rsid w:val="00752782"/>
    <w:rsid w:val="00752D64"/>
    <w:rsid w:val="00752DE7"/>
    <w:rsid w:val="00753FBF"/>
    <w:rsid w:val="007548AC"/>
    <w:rsid w:val="00756068"/>
    <w:rsid w:val="007579E6"/>
    <w:rsid w:val="0076232E"/>
    <w:rsid w:val="00763397"/>
    <w:rsid w:val="007653A7"/>
    <w:rsid w:val="00767AB8"/>
    <w:rsid w:val="00772E1A"/>
    <w:rsid w:val="0077520C"/>
    <w:rsid w:val="00775D77"/>
    <w:rsid w:val="00777E6D"/>
    <w:rsid w:val="007840D0"/>
    <w:rsid w:val="00784EFC"/>
    <w:rsid w:val="00786605"/>
    <w:rsid w:val="00790545"/>
    <w:rsid w:val="00793A8A"/>
    <w:rsid w:val="00797580"/>
    <w:rsid w:val="0079766B"/>
    <w:rsid w:val="007A0054"/>
    <w:rsid w:val="007A0B10"/>
    <w:rsid w:val="007A3E20"/>
    <w:rsid w:val="007A78FA"/>
    <w:rsid w:val="007B087D"/>
    <w:rsid w:val="007B3EFD"/>
    <w:rsid w:val="007B403B"/>
    <w:rsid w:val="007C2B7D"/>
    <w:rsid w:val="007C3B59"/>
    <w:rsid w:val="007C4896"/>
    <w:rsid w:val="007C7360"/>
    <w:rsid w:val="007D2DFA"/>
    <w:rsid w:val="007D380C"/>
    <w:rsid w:val="007E0317"/>
    <w:rsid w:val="007E4A6F"/>
    <w:rsid w:val="007E65CA"/>
    <w:rsid w:val="007E6DC9"/>
    <w:rsid w:val="007F4F14"/>
    <w:rsid w:val="007F5F82"/>
    <w:rsid w:val="007F6987"/>
    <w:rsid w:val="00802D10"/>
    <w:rsid w:val="00805F80"/>
    <w:rsid w:val="00806794"/>
    <w:rsid w:val="0080690B"/>
    <w:rsid w:val="00810406"/>
    <w:rsid w:val="008131F5"/>
    <w:rsid w:val="008166A6"/>
    <w:rsid w:val="00825B95"/>
    <w:rsid w:val="008271F7"/>
    <w:rsid w:val="008276E3"/>
    <w:rsid w:val="00830E29"/>
    <w:rsid w:val="00832DEA"/>
    <w:rsid w:val="008362BF"/>
    <w:rsid w:val="00836C92"/>
    <w:rsid w:val="00837ACF"/>
    <w:rsid w:val="00841827"/>
    <w:rsid w:val="008422B2"/>
    <w:rsid w:val="008434EC"/>
    <w:rsid w:val="00843ACA"/>
    <w:rsid w:val="00845503"/>
    <w:rsid w:val="00852F0D"/>
    <w:rsid w:val="00854B40"/>
    <w:rsid w:val="00856A4A"/>
    <w:rsid w:val="008605FD"/>
    <w:rsid w:val="00863A0E"/>
    <w:rsid w:val="008660E0"/>
    <w:rsid w:val="00867114"/>
    <w:rsid w:val="008721EE"/>
    <w:rsid w:val="00873066"/>
    <w:rsid w:val="0087323E"/>
    <w:rsid w:val="0087406F"/>
    <w:rsid w:val="00876CF3"/>
    <w:rsid w:val="00882C05"/>
    <w:rsid w:val="008835AE"/>
    <w:rsid w:val="00886161"/>
    <w:rsid w:val="00897CE8"/>
    <w:rsid w:val="008A45BD"/>
    <w:rsid w:val="008A4E36"/>
    <w:rsid w:val="008B17B7"/>
    <w:rsid w:val="008B587E"/>
    <w:rsid w:val="008C00E7"/>
    <w:rsid w:val="008D1F57"/>
    <w:rsid w:val="008D2EC7"/>
    <w:rsid w:val="008D3533"/>
    <w:rsid w:val="008D3ACB"/>
    <w:rsid w:val="008D3F46"/>
    <w:rsid w:val="008E342F"/>
    <w:rsid w:val="008F3EC6"/>
    <w:rsid w:val="00901212"/>
    <w:rsid w:val="00911887"/>
    <w:rsid w:val="009151A1"/>
    <w:rsid w:val="00915DAB"/>
    <w:rsid w:val="00920B97"/>
    <w:rsid w:val="0092154D"/>
    <w:rsid w:val="00922F01"/>
    <w:rsid w:val="00923ADF"/>
    <w:rsid w:val="00926798"/>
    <w:rsid w:val="009321D1"/>
    <w:rsid w:val="00932314"/>
    <w:rsid w:val="009349F1"/>
    <w:rsid w:val="0094398D"/>
    <w:rsid w:val="009452A8"/>
    <w:rsid w:val="0094566E"/>
    <w:rsid w:val="00950738"/>
    <w:rsid w:val="00954188"/>
    <w:rsid w:val="009555FA"/>
    <w:rsid w:val="009572B7"/>
    <w:rsid w:val="00970D84"/>
    <w:rsid w:val="00972CD2"/>
    <w:rsid w:val="00975FCB"/>
    <w:rsid w:val="00976113"/>
    <w:rsid w:val="0097698E"/>
    <w:rsid w:val="00982790"/>
    <w:rsid w:val="009857C1"/>
    <w:rsid w:val="00986D5E"/>
    <w:rsid w:val="009900B1"/>
    <w:rsid w:val="0099024C"/>
    <w:rsid w:val="00990E5B"/>
    <w:rsid w:val="00993900"/>
    <w:rsid w:val="009A2EC6"/>
    <w:rsid w:val="009A3AD7"/>
    <w:rsid w:val="009A4440"/>
    <w:rsid w:val="009A5CF6"/>
    <w:rsid w:val="009A75F5"/>
    <w:rsid w:val="009B0A26"/>
    <w:rsid w:val="009B0BB5"/>
    <w:rsid w:val="009B160A"/>
    <w:rsid w:val="009C501C"/>
    <w:rsid w:val="009C5516"/>
    <w:rsid w:val="009C5D09"/>
    <w:rsid w:val="009C6B35"/>
    <w:rsid w:val="009D22EE"/>
    <w:rsid w:val="009D3133"/>
    <w:rsid w:val="009E2879"/>
    <w:rsid w:val="009F08E2"/>
    <w:rsid w:val="009F17AC"/>
    <w:rsid w:val="009F3462"/>
    <w:rsid w:val="009F64C8"/>
    <w:rsid w:val="009F684E"/>
    <w:rsid w:val="00A01182"/>
    <w:rsid w:val="00A02C98"/>
    <w:rsid w:val="00A106B6"/>
    <w:rsid w:val="00A10B4A"/>
    <w:rsid w:val="00A16318"/>
    <w:rsid w:val="00A1699D"/>
    <w:rsid w:val="00A21928"/>
    <w:rsid w:val="00A21B9F"/>
    <w:rsid w:val="00A27690"/>
    <w:rsid w:val="00A31BD7"/>
    <w:rsid w:val="00A34B61"/>
    <w:rsid w:val="00A36531"/>
    <w:rsid w:val="00A41652"/>
    <w:rsid w:val="00A4677B"/>
    <w:rsid w:val="00A52C93"/>
    <w:rsid w:val="00A52E27"/>
    <w:rsid w:val="00A53DD4"/>
    <w:rsid w:val="00A53FBF"/>
    <w:rsid w:val="00A558BC"/>
    <w:rsid w:val="00A574BB"/>
    <w:rsid w:val="00A578A6"/>
    <w:rsid w:val="00A6034B"/>
    <w:rsid w:val="00A65477"/>
    <w:rsid w:val="00A72D79"/>
    <w:rsid w:val="00A75706"/>
    <w:rsid w:val="00A77731"/>
    <w:rsid w:val="00A83FA5"/>
    <w:rsid w:val="00A93BA4"/>
    <w:rsid w:val="00A96A20"/>
    <w:rsid w:val="00AA4421"/>
    <w:rsid w:val="00AA6ADA"/>
    <w:rsid w:val="00AB2C29"/>
    <w:rsid w:val="00AB3D5A"/>
    <w:rsid w:val="00AB5333"/>
    <w:rsid w:val="00AB541B"/>
    <w:rsid w:val="00AC057A"/>
    <w:rsid w:val="00AC34D3"/>
    <w:rsid w:val="00AC43DC"/>
    <w:rsid w:val="00AC5B87"/>
    <w:rsid w:val="00AC70D5"/>
    <w:rsid w:val="00AD0793"/>
    <w:rsid w:val="00AD175F"/>
    <w:rsid w:val="00AD1F78"/>
    <w:rsid w:val="00AD6021"/>
    <w:rsid w:val="00AD64E3"/>
    <w:rsid w:val="00AE4B7B"/>
    <w:rsid w:val="00AE5354"/>
    <w:rsid w:val="00AE6879"/>
    <w:rsid w:val="00B05388"/>
    <w:rsid w:val="00B14E8E"/>
    <w:rsid w:val="00B170C4"/>
    <w:rsid w:val="00B3020B"/>
    <w:rsid w:val="00B3020C"/>
    <w:rsid w:val="00B340F2"/>
    <w:rsid w:val="00B3446E"/>
    <w:rsid w:val="00B347C5"/>
    <w:rsid w:val="00B37DAA"/>
    <w:rsid w:val="00B428E9"/>
    <w:rsid w:val="00B469DC"/>
    <w:rsid w:val="00B476AB"/>
    <w:rsid w:val="00B51F34"/>
    <w:rsid w:val="00B62589"/>
    <w:rsid w:val="00B70390"/>
    <w:rsid w:val="00B70FF0"/>
    <w:rsid w:val="00B80700"/>
    <w:rsid w:val="00B812D8"/>
    <w:rsid w:val="00B83C6D"/>
    <w:rsid w:val="00B90334"/>
    <w:rsid w:val="00B9051E"/>
    <w:rsid w:val="00B90DA0"/>
    <w:rsid w:val="00B92719"/>
    <w:rsid w:val="00B927B3"/>
    <w:rsid w:val="00B927CD"/>
    <w:rsid w:val="00B92973"/>
    <w:rsid w:val="00BA0199"/>
    <w:rsid w:val="00BA3B38"/>
    <w:rsid w:val="00BA4E1D"/>
    <w:rsid w:val="00BA65A3"/>
    <w:rsid w:val="00BB16C2"/>
    <w:rsid w:val="00BB2FCF"/>
    <w:rsid w:val="00BB301E"/>
    <w:rsid w:val="00BB3DA2"/>
    <w:rsid w:val="00BC0773"/>
    <w:rsid w:val="00BC236F"/>
    <w:rsid w:val="00BC3B0C"/>
    <w:rsid w:val="00BD1947"/>
    <w:rsid w:val="00BD2299"/>
    <w:rsid w:val="00BD6F9B"/>
    <w:rsid w:val="00BD7EEB"/>
    <w:rsid w:val="00BE51ED"/>
    <w:rsid w:val="00BE5656"/>
    <w:rsid w:val="00BE5B5E"/>
    <w:rsid w:val="00BF0E2A"/>
    <w:rsid w:val="00BF634F"/>
    <w:rsid w:val="00BF68B1"/>
    <w:rsid w:val="00C001A7"/>
    <w:rsid w:val="00C0238F"/>
    <w:rsid w:val="00C05B68"/>
    <w:rsid w:val="00C05FF7"/>
    <w:rsid w:val="00C078CD"/>
    <w:rsid w:val="00C11EED"/>
    <w:rsid w:val="00C1526B"/>
    <w:rsid w:val="00C20699"/>
    <w:rsid w:val="00C216AB"/>
    <w:rsid w:val="00C326AA"/>
    <w:rsid w:val="00C33509"/>
    <w:rsid w:val="00C43A8A"/>
    <w:rsid w:val="00C47C80"/>
    <w:rsid w:val="00C50C37"/>
    <w:rsid w:val="00C5309C"/>
    <w:rsid w:val="00C64B7E"/>
    <w:rsid w:val="00C6511E"/>
    <w:rsid w:val="00C70C35"/>
    <w:rsid w:val="00C70F77"/>
    <w:rsid w:val="00C71F3B"/>
    <w:rsid w:val="00C7201B"/>
    <w:rsid w:val="00C76A3D"/>
    <w:rsid w:val="00C81F6F"/>
    <w:rsid w:val="00C83E75"/>
    <w:rsid w:val="00C92F90"/>
    <w:rsid w:val="00CA0FDA"/>
    <w:rsid w:val="00CA1AB1"/>
    <w:rsid w:val="00CA2D00"/>
    <w:rsid w:val="00CA3A07"/>
    <w:rsid w:val="00CA4FB0"/>
    <w:rsid w:val="00CB0E80"/>
    <w:rsid w:val="00CB62F5"/>
    <w:rsid w:val="00CB671D"/>
    <w:rsid w:val="00CB7352"/>
    <w:rsid w:val="00CB7AFE"/>
    <w:rsid w:val="00CC6A31"/>
    <w:rsid w:val="00CC764C"/>
    <w:rsid w:val="00CD0468"/>
    <w:rsid w:val="00CD1360"/>
    <w:rsid w:val="00CD3F2F"/>
    <w:rsid w:val="00CD6EC0"/>
    <w:rsid w:val="00CD7389"/>
    <w:rsid w:val="00CD7B6C"/>
    <w:rsid w:val="00CE254A"/>
    <w:rsid w:val="00CE52E6"/>
    <w:rsid w:val="00CE6437"/>
    <w:rsid w:val="00CF2E6D"/>
    <w:rsid w:val="00CF3D12"/>
    <w:rsid w:val="00CF62FC"/>
    <w:rsid w:val="00CF6896"/>
    <w:rsid w:val="00D04E0D"/>
    <w:rsid w:val="00D06411"/>
    <w:rsid w:val="00D0730A"/>
    <w:rsid w:val="00D13EE9"/>
    <w:rsid w:val="00D15999"/>
    <w:rsid w:val="00D15DC8"/>
    <w:rsid w:val="00D2361A"/>
    <w:rsid w:val="00D27064"/>
    <w:rsid w:val="00D27B71"/>
    <w:rsid w:val="00D305D7"/>
    <w:rsid w:val="00D312A3"/>
    <w:rsid w:val="00D34CC7"/>
    <w:rsid w:val="00D40762"/>
    <w:rsid w:val="00D43EFF"/>
    <w:rsid w:val="00D442C0"/>
    <w:rsid w:val="00D44CFC"/>
    <w:rsid w:val="00D47625"/>
    <w:rsid w:val="00D505FE"/>
    <w:rsid w:val="00D53E08"/>
    <w:rsid w:val="00D5531F"/>
    <w:rsid w:val="00D61BD6"/>
    <w:rsid w:val="00D62E9B"/>
    <w:rsid w:val="00D63097"/>
    <w:rsid w:val="00D76D0F"/>
    <w:rsid w:val="00D80E35"/>
    <w:rsid w:val="00D81B38"/>
    <w:rsid w:val="00D81BC0"/>
    <w:rsid w:val="00D830AF"/>
    <w:rsid w:val="00D8412D"/>
    <w:rsid w:val="00D84409"/>
    <w:rsid w:val="00D851EF"/>
    <w:rsid w:val="00D864DA"/>
    <w:rsid w:val="00D87EC8"/>
    <w:rsid w:val="00D923AF"/>
    <w:rsid w:val="00D93EC0"/>
    <w:rsid w:val="00D95115"/>
    <w:rsid w:val="00DA0605"/>
    <w:rsid w:val="00DA40FD"/>
    <w:rsid w:val="00DA5809"/>
    <w:rsid w:val="00DA6340"/>
    <w:rsid w:val="00DA7B5F"/>
    <w:rsid w:val="00DB3605"/>
    <w:rsid w:val="00DB4765"/>
    <w:rsid w:val="00DC47AC"/>
    <w:rsid w:val="00DC58A7"/>
    <w:rsid w:val="00DD08C9"/>
    <w:rsid w:val="00DD178D"/>
    <w:rsid w:val="00DE7ECA"/>
    <w:rsid w:val="00DF3B2B"/>
    <w:rsid w:val="00DF3FBA"/>
    <w:rsid w:val="00DF5564"/>
    <w:rsid w:val="00E02FBA"/>
    <w:rsid w:val="00E0531D"/>
    <w:rsid w:val="00E06D6E"/>
    <w:rsid w:val="00E103DF"/>
    <w:rsid w:val="00E11C47"/>
    <w:rsid w:val="00E12B2F"/>
    <w:rsid w:val="00E13D16"/>
    <w:rsid w:val="00E16AC2"/>
    <w:rsid w:val="00E175AC"/>
    <w:rsid w:val="00E26136"/>
    <w:rsid w:val="00E34938"/>
    <w:rsid w:val="00E35D1E"/>
    <w:rsid w:val="00E43CC1"/>
    <w:rsid w:val="00E4735F"/>
    <w:rsid w:val="00E47E08"/>
    <w:rsid w:val="00E525E4"/>
    <w:rsid w:val="00E619FA"/>
    <w:rsid w:val="00E61E4E"/>
    <w:rsid w:val="00E61F58"/>
    <w:rsid w:val="00E62917"/>
    <w:rsid w:val="00E631E9"/>
    <w:rsid w:val="00E65390"/>
    <w:rsid w:val="00E659F1"/>
    <w:rsid w:val="00E673DF"/>
    <w:rsid w:val="00E71363"/>
    <w:rsid w:val="00E72552"/>
    <w:rsid w:val="00E735DC"/>
    <w:rsid w:val="00E7482E"/>
    <w:rsid w:val="00E82D9C"/>
    <w:rsid w:val="00E84C4F"/>
    <w:rsid w:val="00E87B51"/>
    <w:rsid w:val="00E91470"/>
    <w:rsid w:val="00E919AD"/>
    <w:rsid w:val="00E92ACD"/>
    <w:rsid w:val="00E9550A"/>
    <w:rsid w:val="00E968BB"/>
    <w:rsid w:val="00E968D8"/>
    <w:rsid w:val="00E96BD6"/>
    <w:rsid w:val="00EA0AFD"/>
    <w:rsid w:val="00EA18CE"/>
    <w:rsid w:val="00EA2E7F"/>
    <w:rsid w:val="00EB1253"/>
    <w:rsid w:val="00EB2D20"/>
    <w:rsid w:val="00EB4469"/>
    <w:rsid w:val="00EB4F5A"/>
    <w:rsid w:val="00EB6410"/>
    <w:rsid w:val="00EB6E99"/>
    <w:rsid w:val="00EC2736"/>
    <w:rsid w:val="00ED7D53"/>
    <w:rsid w:val="00EE23C1"/>
    <w:rsid w:val="00EE2A59"/>
    <w:rsid w:val="00EE2FCA"/>
    <w:rsid w:val="00EF167C"/>
    <w:rsid w:val="00EF26AA"/>
    <w:rsid w:val="00EF333D"/>
    <w:rsid w:val="00EF732F"/>
    <w:rsid w:val="00F11CC1"/>
    <w:rsid w:val="00F14204"/>
    <w:rsid w:val="00F148CD"/>
    <w:rsid w:val="00F16288"/>
    <w:rsid w:val="00F16536"/>
    <w:rsid w:val="00F2280D"/>
    <w:rsid w:val="00F228E3"/>
    <w:rsid w:val="00F243CC"/>
    <w:rsid w:val="00F332B9"/>
    <w:rsid w:val="00F334E4"/>
    <w:rsid w:val="00F35F39"/>
    <w:rsid w:val="00F42B9B"/>
    <w:rsid w:val="00F4405E"/>
    <w:rsid w:val="00F50604"/>
    <w:rsid w:val="00F53F6B"/>
    <w:rsid w:val="00F60208"/>
    <w:rsid w:val="00F613D7"/>
    <w:rsid w:val="00F6176D"/>
    <w:rsid w:val="00F64F72"/>
    <w:rsid w:val="00F7563F"/>
    <w:rsid w:val="00F84D48"/>
    <w:rsid w:val="00F85FF9"/>
    <w:rsid w:val="00F941A8"/>
    <w:rsid w:val="00F94E6F"/>
    <w:rsid w:val="00F97A2E"/>
    <w:rsid w:val="00FA1D12"/>
    <w:rsid w:val="00FA318A"/>
    <w:rsid w:val="00FA71E8"/>
    <w:rsid w:val="00FB74F5"/>
    <w:rsid w:val="00FC05B3"/>
    <w:rsid w:val="00FC09D0"/>
    <w:rsid w:val="00FC5986"/>
    <w:rsid w:val="00FC7BB3"/>
    <w:rsid w:val="00FD0B10"/>
    <w:rsid w:val="00FD5550"/>
    <w:rsid w:val="00FD70E0"/>
    <w:rsid w:val="00FD7A65"/>
    <w:rsid w:val="00FD7B20"/>
    <w:rsid w:val="00FE2FA9"/>
    <w:rsid w:val="00FE3154"/>
    <w:rsid w:val="00FE6D88"/>
    <w:rsid w:val="00FF15F3"/>
    <w:rsid w:val="00FF1BF5"/>
    <w:rsid w:val="00FF561E"/>
    <w:rsid w:val="00FF5CF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7300A5-9E5F-4972-831F-31857C0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79E"/>
    <w:pPr>
      <w:spacing w:after="120" w:line="240" w:lineRule="auto"/>
      <w:jc w:val="both"/>
    </w:pPr>
    <w:rPr>
      <w:rFonts w:ascii="Arial" w:eastAsiaTheme="minorEastAsia" w:hAnsi="Arial" w:cs="Times New Roman"/>
      <w:sz w:val="20"/>
      <w:szCs w:val="20"/>
    </w:rPr>
  </w:style>
  <w:style w:type="paragraph" w:styleId="Titre1">
    <w:name w:val="heading 1"/>
    <w:basedOn w:val="H1"/>
    <w:next w:val="Normal"/>
    <w:link w:val="Titre1Car"/>
    <w:uiPriority w:val="9"/>
    <w:rsid w:val="0002379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379E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  <w:shd w:val="clear" w:color="auto" w:fill="FFFFFF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379E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379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79E"/>
    <w:rPr>
      <w:rFonts w:ascii="Lucida Grande" w:eastAsiaTheme="minorEastAsia" w:hAnsi="Lucida Grande" w:cs="Lucida Grande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2379E"/>
    <w:pPr>
      <w:spacing w:after="240"/>
      <w:ind w:left="720"/>
      <w:contextualSpacing/>
    </w:pPr>
    <w:rPr>
      <w:rFonts w:eastAsiaTheme="minorHAnsi" w:cstheme="minorBidi"/>
      <w:szCs w:val="22"/>
    </w:rPr>
  </w:style>
  <w:style w:type="table" w:styleId="Grilledutableau">
    <w:name w:val="Table Grid"/>
    <w:basedOn w:val="TableauNormal"/>
    <w:uiPriority w:val="59"/>
    <w:rsid w:val="0002379E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2379E"/>
    <w:pPr>
      <w:spacing w:after="0" w:line="288" w:lineRule="auto"/>
      <w:jc w:val="left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02379E"/>
    <w:rPr>
      <w:rFonts w:ascii="Arial" w:eastAsiaTheme="minorEastAsia" w:hAnsi="Arial" w:cs="Times New Roman"/>
      <w:sz w:val="16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2379E"/>
    <w:pPr>
      <w:spacing w:after="0"/>
      <w:jc w:val="left"/>
    </w:pPr>
    <w:rPr>
      <w:sz w:val="16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02379E"/>
    <w:rPr>
      <w:rFonts w:ascii="Arial" w:eastAsiaTheme="minorEastAsia" w:hAnsi="Arial" w:cs="Times New Roman"/>
      <w:sz w:val="16"/>
      <w:szCs w:val="18"/>
    </w:rPr>
  </w:style>
  <w:style w:type="character" w:styleId="Numrodepage">
    <w:name w:val="page number"/>
    <w:basedOn w:val="Policepardfaut"/>
    <w:uiPriority w:val="99"/>
    <w:unhideWhenUsed/>
    <w:rsid w:val="0002379E"/>
    <w:rPr>
      <w:b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2379E"/>
    <w:rPr>
      <w:rFonts w:ascii="Arial" w:hAnsi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02379E"/>
    <w:rPr>
      <w:rFonts w:ascii="Arial" w:eastAsiaTheme="minorEastAsia" w:hAnsi="Arial" w:cs="Times New Roman"/>
      <w:b/>
      <w:sz w:val="40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02379E"/>
    <w:rPr>
      <w:rFonts w:ascii="Arial" w:eastAsiaTheme="minorEastAsia" w:hAnsi="Arial" w:cs="Times New Roman"/>
      <w:b/>
      <w:cap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2379E"/>
    <w:rPr>
      <w:rFonts w:ascii="Arial" w:eastAsiaTheme="minorEastAsia" w:hAnsi="Arial" w:cs="Times New Roman"/>
      <w:b/>
      <w:szCs w:val="24"/>
    </w:rPr>
  </w:style>
  <w:style w:type="paragraph" w:customStyle="1" w:styleId="Default">
    <w:name w:val="Default"/>
    <w:rsid w:val="00023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2379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0C35"/>
  </w:style>
  <w:style w:type="character" w:customStyle="1" w:styleId="CommentaireCar">
    <w:name w:val="Commentaire Car"/>
    <w:basedOn w:val="Policepardfaut"/>
    <w:link w:val="Commentaire"/>
    <w:uiPriority w:val="99"/>
    <w:semiHidden/>
    <w:rsid w:val="00C70C35"/>
    <w:rPr>
      <w:rFonts w:ascii="Arial" w:eastAsiaTheme="minorEastAsia" w:hAnsi="Arial" w:cs="Times New Roman"/>
      <w:sz w:val="20"/>
      <w:szCs w:val="20"/>
    </w:rPr>
  </w:style>
  <w:style w:type="paragraph" w:styleId="Objetducommentaire">
    <w:name w:val="annotation subject"/>
    <w:basedOn w:val="Normal"/>
    <w:link w:val="ObjetducommentaireCar"/>
    <w:uiPriority w:val="99"/>
    <w:semiHidden/>
    <w:unhideWhenUsed/>
    <w:rsid w:val="0002379E"/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02379E"/>
    <w:rPr>
      <w:rFonts w:ascii="Arial" w:eastAsiaTheme="minorEastAsia" w:hAnsi="Arial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2379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379E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02379E"/>
    <w:pPr>
      <w:spacing w:after="0"/>
    </w:pPr>
    <w:rPr>
      <w:sz w:val="16"/>
      <w:szCs w:val="22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2379E"/>
    <w:rPr>
      <w:rFonts w:ascii="Arial" w:eastAsiaTheme="minorEastAsia" w:hAnsi="Arial" w:cs="Times New Roman"/>
      <w:sz w:val="16"/>
    </w:rPr>
  </w:style>
  <w:style w:type="character" w:styleId="Appelnotedebasdep">
    <w:name w:val="footnote reference"/>
    <w:basedOn w:val="Policepardfaut"/>
    <w:uiPriority w:val="99"/>
    <w:unhideWhenUsed/>
    <w:rsid w:val="0002379E"/>
    <w:rPr>
      <w:vertAlign w:val="superscript"/>
    </w:rPr>
  </w:style>
  <w:style w:type="paragraph" w:styleId="Rvision">
    <w:name w:val="Revision"/>
    <w:hidden/>
    <w:uiPriority w:val="99"/>
    <w:semiHidden/>
    <w:rsid w:val="0002379E"/>
    <w:pPr>
      <w:spacing w:after="0" w:line="240" w:lineRule="auto"/>
    </w:pPr>
    <w:rPr>
      <w:rFonts w:ascii="Arial" w:eastAsiaTheme="minorEastAsia" w:hAnsi="Arial" w:cs="Arial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02379E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Normal"/>
    <w:link w:val="H1Char"/>
    <w:qFormat/>
    <w:rsid w:val="0002379E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Normal"/>
    <w:rsid w:val="0002379E"/>
    <w:pPr>
      <w:numPr>
        <w:numId w:val="22"/>
      </w:numPr>
      <w:spacing w:before="60"/>
    </w:pPr>
    <w:rPr>
      <w:rFonts w:eastAsia="Times New Roman"/>
      <w:color w:val="000000"/>
    </w:rPr>
  </w:style>
  <w:style w:type="paragraph" w:customStyle="1" w:styleId="RefItem1">
    <w:name w:val="Ref Item 1"/>
    <w:basedOn w:val="Normal"/>
    <w:rsid w:val="0002379E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02379E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En-tte"/>
    <w:rsid w:val="0002379E"/>
    <w:rPr>
      <w:b/>
      <w:sz w:val="24"/>
      <w:szCs w:val="24"/>
    </w:rPr>
  </w:style>
  <w:style w:type="character" w:customStyle="1" w:styleId="Pantone485">
    <w:name w:val="Pantone 485"/>
    <w:basedOn w:val="Policepardfaut"/>
    <w:uiPriority w:val="1"/>
    <w:qFormat/>
    <w:rsid w:val="0002379E"/>
    <w:rPr>
      <w:rFonts w:cs="Caecilia-Light"/>
      <w:color w:val="DC281E"/>
      <w:szCs w:val="16"/>
    </w:rPr>
  </w:style>
  <w:style w:type="character" w:customStyle="1" w:styleId="H1Char">
    <w:name w:val="H1 Char"/>
    <w:basedOn w:val="Policepardfaut"/>
    <w:link w:val="H1"/>
    <w:rsid w:val="0002379E"/>
    <w:rPr>
      <w:rFonts w:ascii="Arial" w:eastAsiaTheme="minorEastAsia" w:hAnsi="Arial" w:cs="Times New Roman"/>
      <w:b/>
      <w:sz w:val="40"/>
      <w:szCs w:val="52"/>
    </w:rPr>
  </w:style>
  <w:style w:type="table" w:customStyle="1" w:styleId="TableGray">
    <w:name w:val="Table Gray"/>
    <w:basedOn w:val="TableauNormal"/>
    <w:uiPriority w:val="99"/>
    <w:rsid w:val="0002379E"/>
    <w:pPr>
      <w:spacing w:after="0" w:line="240" w:lineRule="auto"/>
    </w:pPr>
    <w:rPr>
      <w:rFonts w:eastAsiaTheme="minorEastAsia" w:cs="Times New Roman"/>
      <w:sz w:val="20"/>
      <w:szCs w:val="20"/>
    </w:rPr>
    <w:tblPr>
      <w:tblInd w:w="0" w:type="dxa"/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Paragraphedeliste"/>
    <w:rsid w:val="0002379E"/>
    <w:pPr>
      <w:numPr>
        <w:numId w:val="23"/>
      </w:numPr>
      <w:tabs>
        <w:tab w:val="left" w:pos="7230"/>
      </w:tabs>
      <w:spacing w:before="120" w:after="120"/>
      <w:contextualSpacing w:val="0"/>
    </w:pPr>
    <w:rPr>
      <w:rFonts w:cs="Arial"/>
    </w:rPr>
  </w:style>
  <w:style w:type="paragraph" w:customStyle="1" w:styleId="ListNumber1">
    <w:name w:val="List Number 1"/>
    <w:basedOn w:val="Normal"/>
    <w:rsid w:val="0002379E"/>
    <w:pPr>
      <w:numPr>
        <w:ilvl w:val="1"/>
        <w:numId w:val="20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Normal"/>
    <w:qFormat/>
    <w:rsid w:val="0002379E"/>
    <w:pPr>
      <w:numPr>
        <w:numId w:val="21"/>
      </w:numPr>
    </w:pPr>
    <w:rPr>
      <w:rFonts w:eastAsia="MS Mincho"/>
      <w:b/>
      <w:sz w:val="22"/>
    </w:rPr>
  </w:style>
  <w:style w:type="paragraph" w:customStyle="1" w:styleId="Bullet3">
    <w:name w:val="Bullet 3"/>
    <w:basedOn w:val="Paragraphedeliste"/>
    <w:qFormat/>
    <w:rsid w:val="0002379E"/>
    <w:pPr>
      <w:numPr>
        <w:numId w:val="24"/>
      </w:numPr>
      <w:spacing w:before="120" w:after="120"/>
      <w:ind w:right="425"/>
    </w:pPr>
    <w:rPr>
      <w:rFonts w:cs="Arial"/>
      <w:i/>
      <w:iCs/>
    </w:rPr>
  </w:style>
  <w:style w:type="paragraph" w:customStyle="1" w:styleId="Indent">
    <w:name w:val="Indent"/>
    <w:basedOn w:val="Normal"/>
    <w:qFormat/>
    <w:rsid w:val="0002379E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02379E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02379E"/>
    <w:pPr>
      <w:keepNext/>
      <w:keepLines/>
      <w:framePr w:hSpace="141" w:wrap="around" w:vAnchor="text" w:hAnchor="margin" w:y="402"/>
      <w:numPr>
        <w:numId w:val="25"/>
      </w:numPr>
      <w:spacing w:beforeLines="60" w:afterLines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2BCCA-5644-424B-9E5C-D4A5B8F1D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EEF57-A3FE-4113-A130-AB5F7BD96C94}"/>
</file>

<file path=customXml/itemProps3.xml><?xml version="1.0" encoding="utf-8"?>
<ds:datastoreItem xmlns:ds="http://schemas.openxmlformats.org/officeDocument/2006/customXml" ds:itemID="{EEA3751D-719E-444F-9704-AFE91AA6BD8E}"/>
</file>

<file path=customXml/itemProps4.xml><?xml version="1.0" encoding="utf-8"?>
<ds:datastoreItem xmlns:ds="http://schemas.openxmlformats.org/officeDocument/2006/customXml" ds:itemID="{04DC845E-562B-4B14-BED0-DC0720E78B81}"/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0</TotalTime>
  <Pages>1</Pages>
  <Words>937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Holman</dc:creator>
  <cp:lastModifiedBy>Yazi Tassaou Amadou</cp:lastModifiedBy>
  <cp:revision>1</cp:revision>
  <cp:lastPrinted>2015-12-10T13:18:00Z</cp:lastPrinted>
  <dcterms:created xsi:type="dcterms:W3CDTF">2020-02-20T07:34:00Z</dcterms:created>
  <dcterms:modified xsi:type="dcterms:W3CDTF">2020-02-20T07:34:00Z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