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FDF8" w14:textId="15A8D324" w:rsidR="00C637E5" w:rsidRPr="00950511" w:rsidRDefault="0029507D" w:rsidP="00E61E04">
      <w:pPr>
        <w:pStyle w:val="Estilo4"/>
        <w:rPr>
          <w:rFonts w:ascii="Montserrat SemiBold" w:hAnsi="Montserrat SemiBold" w:cs="Open Sans"/>
          <w:b w:val="0"/>
          <w:bCs/>
          <w:color w:val="F5333F"/>
          <w:sz w:val="32"/>
          <w:szCs w:val="32"/>
        </w:rPr>
      </w:pPr>
      <w:r w:rsidRPr="00950511">
        <w:rPr>
          <w:rFonts w:ascii="Montserrat SemiBold" w:hAnsi="Montserrat SemiBold" w:cs="Open Sans"/>
          <w:b w:val="0"/>
          <w:bCs/>
          <w:color w:val="F5333F"/>
          <w:sz w:val="32"/>
          <w:szCs w:val="32"/>
        </w:rPr>
        <w:t>P2.S3.T</w:t>
      </w:r>
      <w:r w:rsidR="003867F8" w:rsidRPr="00950511">
        <w:rPr>
          <w:rFonts w:ascii="Montserrat SemiBold" w:hAnsi="Montserrat SemiBold" w:cs="Open Sans"/>
          <w:b w:val="0"/>
          <w:bCs/>
          <w:color w:val="F5333F"/>
          <w:sz w:val="32"/>
          <w:szCs w:val="32"/>
        </w:rPr>
        <w:t>5</w:t>
      </w:r>
      <w:r w:rsidRPr="00950511">
        <w:rPr>
          <w:rFonts w:ascii="Montserrat SemiBold" w:hAnsi="Montserrat SemiBold" w:cs="Open Sans"/>
          <w:b w:val="0"/>
          <w:bCs/>
          <w:color w:val="F5333F"/>
          <w:sz w:val="32"/>
          <w:szCs w:val="32"/>
        </w:rPr>
        <w:t>.</w:t>
      </w:r>
      <w:r w:rsidR="00126BC4" w:rsidRPr="00950511">
        <w:rPr>
          <w:rFonts w:ascii="Montserrat SemiBold" w:hAnsi="Montserrat SemiBold" w:cs="Open Sans"/>
          <w:b w:val="0"/>
          <w:bCs/>
          <w:color w:val="F5333F"/>
          <w:sz w:val="32"/>
          <w:szCs w:val="32"/>
        </w:rPr>
        <w:t xml:space="preserve"> </w:t>
      </w:r>
      <w:r w:rsidR="00245045" w:rsidRPr="00950511">
        <w:rPr>
          <w:rFonts w:ascii="Montserrat SemiBold" w:hAnsi="Montserrat SemiBold" w:cs="Open Sans"/>
          <w:b w:val="0"/>
          <w:bCs/>
          <w:color w:val="F5333F"/>
          <w:sz w:val="32"/>
          <w:szCs w:val="32"/>
        </w:rPr>
        <w:t>Matrice des risques et mesures d</w:t>
      </w:r>
      <w:r w:rsidR="00D57539" w:rsidRPr="00950511">
        <w:rPr>
          <w:rFonts w:ascii="Montserrat SemiBold" w:hAnsi="Montserrat SemiBold" w:cs="Open Sans"/>
          <w:b w:val="0"/>
          <w:bCs/>
          <w:color w:val="F5333F"/>
          <w:sz w:val="32"/>
          <w:szCs w:val="32"/>
        </w:rPr>
        <w:t>’</w:t>
      </w:r>
      <w:r w:rsidR="00245045" w:rsidRPr="00950511">
        <w:rPr>
          <w:rFonts w:ascii="Montserrat SemiBold" w:hAnsi="Montserrat SemiBold" w:cs="Open Sans"/>
          <w:b w:val="0"/>
          <w:bCs/>
          <w:color w:val="F5333F"/>
          <w:sz w:val="32"/>
          <w:szCs w:val="32"/>
        </w:rPr>
        <w:t>atténuation</w:t>
      </w:r>
    </w:p>
    <w:p w14:paraId="3F933B52" w14:textId="4749FE88" w:rsidR="007E3980" w:rsidRPr="00950511" w:rsidRDefault="00366316" w:rsidP="007E3980">
      <w:pPr>
        <w:pStyle w:val="Estilo4"/>
        <w:rPr>
          <w:rFonts w:ascii="Open Sans" w:hAnsi="Open Sans" w:cs="Open Sans"/>
          <w:b w:val="0"/>
          <w:color w:val="auto"/>
          <w:sz w:val="20"/>
          <w:szCs w:val="20"/>
        </w:rPr>
      </w:pPr>
      <w:r w:rsidRPr="00950511">
        <w:rPr>
          <w:rFonts w:ascii="Montserrat SemiBold" w:hAnsi="Montserrat SemiBold" w:cs="Open Sans"/>
          <w:b w:val="0"/>
          <w:color w:val="F5333F"/>
        </w:rPr>
        <w:t>Objectif</w:t>
      </w:r>
      <w:r w:rsidR="00651F25" w:rsidRPr="00950511">
        <w:rPr>
          <w:rFonts w:ascii="Montserrat SemiBold" w:hAnsi="Montserrat SemiBold" w:cs="Open Sans"/>
          <w:b w:val="0"/>
          <w:color w:val="F5333F"/>
        </w:rPr>
        <w:t> </w:t>
      </w:r>
      <w:r w:rsidR="007E3980" w:rsidRPr="00950511">
        <w:rPr>
          <w:rFonts w:ascii="Montserrat SemiBold" w:hAnsi="Montserrat SemiBold" w:cs="Open Sans"/>
          <w:b w:val="0"/>
          <w:color w:val="F5333F"/>
        </w:rPr>
        <w:t>:</w:t>
      </w:r>
      <w:r w:rsidR="007E3980" w:rsidRPr="00950511">
        <w:rPr>
          <w:rFonts w:ascii="Open Sans" w:hAnsi="Open Sans" w:cs="Open Sans"/>
          <w:b w:val="0"/>
          <w:color w:val="F5333F"/>
        </w:rPr>
        <w:t xml:space="preserve"> </w:t>
      </w:r>
      <w:r w:rsidRPr="00950511">
        <w:rPr>
          <w:rFonts w:ascii="Open Sans" w:hAnsi="Open Sans" w:cs="Open Sans"/>
          <w:b w:val="0"/>
          <w:color w:val="auto"/>
          <w:sz w:val="20"/>
          <w:szCs w:val="20"/>
        </w:rPr>
        <w:t>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analyse des risques fait partie intégrante de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élaboration et de la mise en œuvre de toute intervention d</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urgence, en particulier dans des environnements complexes.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analyse et les mesures d</w:t>
      </w:r>
      <w:r w:rsidR="00025F86" w:rsidRPr="00950511">
        <w:rPr>
          <w:rFonts w:ascii="Open Sans" w:hAnsi="Open Sans" w:cs="Open Sans"/>
          <w:b w:val="0"/>
          <w:color w:val="auto"/>
          <w:sz w:val="20"/>
          <w:szCs w:val="20"/>
        </w:rPr>
        <w:t>’atténuation</w:t>
      </w:r>
      <w:r w:rsidRPr="00950511">
        <w:rPr>
          <w:rFonts w:ascii="Open Sans" w:hAnsi="Open Sans" w:cs="Open Sans"/>
          <w:b w:val="0"/>
          <w:color w:val="auto"/>
          <w:sz w:val="20"/>
          <w:szCs w:val="20"/>
        </w:rPr>
        <w:t xml:space="preserve"> des risques doivent être planifiées longtemps à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avance par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équipe en charge du programme et doivent être prises en compte tout au long du cycle d</w:t>
      </w:r>
      <w:r w:rsidR="00025F86" w:rsidRPr="00950511">
        <w:rPr>
          <w:rFonts w:ascii="Open Sans" w:hAnsi="Open Sans" w:cs="Open Sans"/>
          <w:b w:val="0"/>
          <w:color w:val="auto"/>
          <w:sz w:val="20"/>
          <w:szCs w:val="20"/>
        </w:rPr>
        <w:t>u</w:t>
      </w:r>
      <w:r w:rsidRPr="00950511">
        <w:rPr>
          <w:rFonts w:ascii="Open Sans" w:hAnsi="Open Sans" w:cs="Open Sans"/>
          <w:b w:val="0"/>
          <w:color w:val="auto"/>
          <w:sz w:val="20"/>
          <w:szCs w:val="20"/>
        </w:rPr>
        <w:t xml:space="preserve"> projet.</w:t>
      </w:r>
    </w:p>
    <w:p w14:paraId="08DE050D" w14:textId="0488FFE7" w:rsidR="007E3980" w:rsidRPr="00950511" w:rsidRDefault="00366316" w:rsidP="007E3980">
      <w:pPr>
        <w:pStyle w:val="Estilo4"/>
        <w:rPr>
          <w:rFonts w:ascii="Open Sans" w:hAnsi="Open Sans" w:cs="Open Sans"/>
          <w:b w:val="0"/>
          <w:color w:val="auto"/>
          <w:sz w:val="20"/>
          <w:szCs w:val="20"/>
        </w:rPr>
      </w:pPr>
      <w:r w:rsidRPr="00950511">
        <w:rPr>
          <w:rFonts w:ascii="Open Sans" w:hAnsi="Open Sans" w:cs="Open Sans"/>
          <w:b w:val="0"/>
          <w:color w:val="auto"/>
          <w:sz w:val="20"/>
          <w:szCs w:val="20"/>
        </w:rPr>
        <w:t>Il convient d</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identifier certains risques et donc d</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appliquer des mesures d</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atténuation pour les minimiser. Cet outil présente les risques communs et les mesures d</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atténuation dans les projets de ME. Il est nécessaire de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adapter à chaque projet et contexte spécifique. Il est particulièrement important de développer et de partager l</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outil avec les parties prenantes concernées pendant la mise en œuvre du projet. Il convient de s</w:t>
      </w:r>
      <w:r w:rsidR="00D57539" w:rsidRPr="00950511">
        <w:rPr>
          <w:rFonts w:ascii="Open Sans" w:hAnsi="Open Sans" w:cs="Open Sans"/>
          <w:b w:val="0"/>
          <w:color w:val="auto"/>
          <w:sz w:val="20"/>
          <w:szCs w:val="20"/>
        </w:rPr>
        <w:t>’</w:t>
      </w:r>
      <w:r w:rsidRPr="00950511">
        <w:rPr>
          <w:rFonts w:ascii="Open Sans" w:hAnsi="Open Sans" w:cs="Open Sans"/>
          <w:b w:val="0"/>
          <w:color w:val="auto"/>
          <w:sz w:val="20"/>
          <w:szCs w:val="20"/>
        </w:rPr>
        <w:t>accorder sur une compréhension commune des mesures à adopter dans les différents cas</w:t>
      </w:r>
      <w:r w:rsidR="00126BC4" w:rsidRPr="00950511">
        <w:rPr>
          <w:rFonts w:ascii="Open Sans" w:hAnsi="Open Sans" w:cs="Open Sans"/>
          <w:b w:val="0"/>
          <w:color w:val="auto"/>
          <w:sz w:val="20"/>
          <w:szCs w:val="20"/>
        </w:rPr>
        <w:t xml:space="preserve">. </w:t>
      </w:r>
    </w:p>
    <w:tbl>
      <w:tblPr>
        <w:tblStyle w:val="Tablaconcuadrcula"/>
        <w:tblW w:w="5000" w:type="pct"/>
        <w:jc w:val="center"/>
        <w:tblLook w:val="04A0" w:firstRow="1" w:lastRow="0" w:firstColumn="1" w:lastColumn="0" w:noHBand="0" w:noVBand="1"/>
      </w:tblPr>
      <w:tblGrid>
        <w:gridCol w:w="2881"/>
        <w:gridCol w:w="1239"/>
        <w:gridCol w:w="1332"/>
        <w:gridCol w:w="9705"/>
      </w:tblGrid>
      <w:tr w:rsidR="00686B43" w:rsidRPr="00950511" w14:paraId="454C6529" w14:textId="77777777" w:rsidTr="00315B1B">
        <w:trPr>
          <w:tblHeader/>
          <w:jc w:val="center"/>
        </w:trPr>
        <w:tc>
          <w:tcPr>
            <w:tcW w:w="952" w:type="pct"/>
            <w:shd w:val="clear" w:color="auto" w:fill="F5333F"/>
            <w:vAlign w:val="center"/>
          </w:tcPr>
          <w:p w14:paraId="6BF1B0EC" w14:textId="1599CEE9" w:rsidR="007D2271" w:rsidRPr="00950511" w:rsidRDefault="007D2271" w:rsidP="009048D4">
            <w:pPr>
              <w:pStyle w:val="BulletTableau"/>
              <w:framePr w:hSpace="0" w:wrap="auto" w:vAnchor="margin" w:hAnchor="text" w:yAlign="inline"/>
              <w:numPr>
                <w:ilvl w:val="0"/>
                <w:numId w:val="0"/>
              </w:numPr>
              <w:spacing w:beforeLines="0" w:before="20" w:afterLines="0"/>
              <w:ind w:left="360"/>
              <w:jc w:val="left"/>
              <w:rPr>
                <w:rFonts w:ascii="Montserrat SemiBold" w:hAnsi="Montserrat SemiBold" w:cs="Open Sans"/>
                <w:color w:val="FFFFFF" w:themeColor="background1"/>
                <w:sz w:val="22"/>
                <w:lang w:val="fr-FR"/>
              </w:rPr>
            </w:pPr>
            <w:bookmarkStart w:id="0" w:name="_Hlk91135846"/>
            <w:r w:rsidRPr="00950511">
              <w:rPr>
                <w:rFonts w:ascii="Montserrat SemiBold" w:hAnsi="Montserrat SemiBold" w:cs="Open Sans"/>
                <w:color w:val="FFFFFF" w:themeColor="background1"/>
                <w:sz w:val="18"/>
                <w:szCs w:val="18"/>
                <w:lang w:val="fr-FR" w:eastAsia="es-ES"/>
              </w:rPr>
              <w:lastRenderedPageBreak/>
              <w:t>Ris</w:t>
            </w:r>
            <w:r w:rsidR="003C0A9A" w:rsidRPr="00950511">
              <w:rPr>
                <w:rFonts w:ascii="Montserrat SemiBold" w:hAnsi="Montserrat SemiBold" w:cs="Open Sans"/>
                <w:color w:val="FFFFFF" w:themeColor="background1"/>
                <w:sz w:val="18"/>
                <w:szCs w:val="18"/>
                <w:lang w:val="fr-FR" w:eastAsia="es-ES"/>
              </w:rPr>
              <w:t>que</w:t>
            </w:r>
            <w:r w:rsidRPr="00950511">
              <w:rPr>
                <w:rFonts w:ascii="Montserrat SemiBold" w:hAnsi="Montserrat SemiBold" w:cs="Open Sans"/>
                <w:color w:val="FFFFFF" w:themeColor="background1"/>
                <w:sz w:val="18"/>
                <w:szCs w:val="18"/>
                <w:lang w:val="fr-FR" w:eastAsia="es-ES"/>
              </w:rPr>
              <w:t xml:space="preserve"> </w:t>
            </w:r>
          </w:p>
        </w:tc>
        <w:tc>
          <w:tcPr>
            <w:tcW w:w="409" w:type="pct"/>
            <w:shd w:val="clear" w:color="auto" w:fill="F5333F"/>
            <w:vAlign w:val="center"/>
          </w:tcPr>
          <w:p w14:paraId="2652A3D2" w14:textId="7952A268" w:rsidR="007D2271" w:rsidRPr="00950511" w:rsidRDefault="003C0A9A" w:rsidP="009048D4">
            <w:pPr>
              <w:jc w:val="left"/>
              <w:rPr>
                <w:rFonts w:ascii="Montserrat SemiBold" w:hAnsi="Montserrat SemiBold" w:cs="Open Sans"/>
                <w:color w:val="FFFFFF" w:themeColor="background1"/>
                <w:sz w:val="18"/>
                <w:szCs w:val="18"/>
                <w:lang w:val="fr-FR"/>
              </w:rPr>
            </w:pPr>
            <w:r w:rsidRPr="00950511">
              <w:rPr>
                <w:rFonts w:ascii="Montserrat SemiBold" w:hAnsi="Montserrat SemiBold" w:cs="Arial"/>
                <w:color w:val="FFFFFF" w:themeColor="background1"/>
                <w:sz w:val="18"/>
                <w:szCs w:val="18"/>
                <w:lang w:val="fr-FR"/>
              </w:rPr>
              <w:t>Probabilité</w:t>
            </w:r>
            <w:r w:rsidRPr="00950511">
              <w:rPr>
                <w:rFonts w:ascii="Montserrat SemiBold" w:hAnsi="Montserrat SemiBold" w:cs="Arial"/>
                <w:color w:val="FFFFFF" w:themeColor="background1"/>
                <w:sz w:val="18"/>
                <w:szCs w:val="18"/>
                <w:lang w:val="fr-FR"/>
              </w:rPr>
              <w:br/>
              <w:t xml:space="preserve">(1 Faible - </w:t>
            </w:r>
            <w:r w:rsidRPr="00950511">
              <w:rPr>
                <w:rFonts w:ascii="Montserrat SemiBold" w:hAnsi="Montserrat SemiBold" w:cs="Arial"/>
                <w:color w:val="FFFFFF" w:themeColor="background1"/>
                <w:sz w:val="18"/>
                <w:szCs w:val="18"/>
                <w:lang w:val="fr-FR"/>
              </w:rPr>
              <w:br/>
              <w:t>5 Élevée)</w:t>
            </w:r>
          </w:p>
        </w:tc>
        <w:tc>
          <w:tcPr>
            <w:tcW w:w="435" w:type="pct"/>
            <w:shd w:val="clear" w:color="auto" w:fill="F5333F"/>
            <w:vAlign w:val="center"/>
          </w:tcPr>
          <w:p w14:paraId="4B636ED4" w14:textId="4649BD92" w:rsidR="007D2271" w:rsidRPr="00950511" w:rsidRDefault="007D2271" w:rsidP="009048D4">
            <w:pPr>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 xml:space="preserve">Description </w:t>
            </w:r>
            <w:r w:rsidR="003C0A9A" w:rsidRPr="00950511">
              <w:rPr>
                <w:rFonts w:ascii="Montserrat SemiBold" w:hAnsi="Montserrat SemiBold" w:cs="Open Sans"/>
                <w:color w:val="FFFFFF" w:themeColor="background1"/>
                <w:sz w:val="18"/>
                <w:szCs w:val="18"/>
                <w:lang w:val="fr-FR"/>
              </w:rPr>
              <w:t>de l</w:t>
            </w:r>
            <w:r w:rsidR="00D57539" w:rsidRPr="00950511">
              <w:rPr>
                <w:rFonts w:ascii="Montserrat SemiBold" w:hAnsi="Montserrat SemiBold" w:cs="Open Sans"/>
                <w:color w:val="FFFFFF" w:themeColor="background1"/>
                <w:sz w:val="18"/>
                <w:szCs w:val="18"/>
                <w:lang w:val="fr-FR"/>
              </w:rPr>
              <w:t>’</w:t>
            </w:r>
            <w:r w:rsidR="003C0A9A" w:rsidRPr="00950511">
              <w:rPr>
                <w:rFonts w:ascii="Montserrat SemiBold" w:hAnsi="Montserrat SemiBold" w:cs="Open Sans"/>
                <w:color w:val="FFFFFF" w:themeColor="background1"/>
                <w:sz w:val="18"/>
                <w:szCs w:val="18"/>
                <w:lang w:val="fr-FR"/>
              </w:rPr>
              <w:t>i</w:t>
            </w:r>
            <w:r w:rsidR="003C0A9A" w:rsidRPr="00950511">
              <w:rPr>
                <w:rFonts w:ascii="Montserrat SemiBold" w:hAnsi="Montserrat SemiBold" w:cs="Arial"/>
                <w:color w:val="FFFFFF" w:themeColor="background1"/>
                <w:sz w:val="18"/>
                <w:szCs w:val="18"/>
                <w:lang w:val="fr-FR"/>
              </w:rPr>
              <w:t xml:space="preserve">mpact du risque sur le programme </w:t>
            </w:r>
            <w:r w:rsidR="003C0A9A" w:rsidRPr="00950511">
              <w:rPr>
                <w:rFonts w:ascii="Montserrat SemiBold" w:hAnsi="Montserrat SemiBold" w:cs="Arial"/>
                <w:color w:val="FFFFFF" w:themeColor="background1"/>
                <w:sz w:val="18"/>
                <w:szCs w:val="18"/>
                <w:lang w:val="fr-FR"/>
              </w:rPr>
              <w:br/>
              <w:t>(1 Faible – 5 Élevé)</w:t>
            </w:r>
          </w:p>
        </w:tc>
        <w:tc>
          <w:tcPr>
            <w:tcW w:w="3204" w:type="pct"/>
            <w:shd w:val="clear" w:color="auto" w:fill="F5333F"/>
            <w:vAlign w:val="center"/>
          </w:tcPr>
          <w:p w14:paraId="409F960E" w14:textId="3F837B2E" w:rsidR="007D2271" w:rsidRPr="00950511" w:rsidRDefault="003C0A9A" w:rsidP="009048D4">
            <w:pPr>
              <w:jc w:val="left"/>
              <w:rPr>
                <w:rFonts w:ascii="Montserrat SemiBold" w:hAnsi="Montserrat SemiBold" w:cs="Open Sans"/>
                <w:color w:val="FFFFFF" w:themeColor="background1"/>
                <w:lang w:val="fr-FR"/>
              </w:rPr>
            </w:pPr>
            <w:r w:rsidRPr="00950511">
              <w:rPr>
                <w:rFonts w:ascii="Montserrat SemiBold" w:hAnsi="Montserrat SemiBold" w:cs="Open Sans"/>
                <w:color w:val="FFFFFF" w:themeColor="background1"/>
                <w:sz w:val="18"/>
                <w:szCs w:val="18"/>
                <w:lang w:val="fr-FR"/>
              </w:rPr>
              <w:t>Mesures potentielles d</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 xml:space="preserve">atténuation </w:t>
            </w:r>
          </w:p>
        </w:tc>
      </w:tr>
      <w:tr w:rsidR="007D2271" w:rsidRPr="00950511" w14:paraId="6EDC3F1F" w14:textId="77777777" w:rsidTr="6838ACE2">
        <w:trPr>
          <w:jc w:val="center"/>
        </w:trPr>
        <w:tc>
          <w:tcPr>
            <w:tcW w:w="5000" w:type="pct"/>
            <w:gridSpan w:val="4"/>
            <w:shd w:val="clear" w:color="auto" w:fill="D9D9D9" w:themeFill="background1" w:themeFillShade="D9"/>
          </w:tcPr>
          <w:p w14:paraId="1ED1BA13" w14:textId="3155C0D5" w:rsidR="007D2271" w:rsidRPr="00950511" w:rsidRDefault="003C0A9A" w:rsidP="00686B43">
            <w:pPr>
              <w:pStyle w:val="BulletTableau"/>
              <w:framePr w:hSpace="0" w:wrap="auto" w:vAnchor="margin" w:hAnchor="text" w:yAlign="inline"/>
              <w:numPr>
                <w:ilvl w:val="0"/>
                <w:numId w:val="0"/>
              </w:numPr>
              <w:spacing w:beforeLines="0" w:before="20" w:afterLines="0"/>
              <w:ind w:left="360" w:hanging="360"/>
              <w:jc w:val="left"/>
              <w:rPr>
                <w:rFonts w:ascii="Montserrat SemiBold" w:hAnsi="Montserrat SemiBold" w:cs="Open Sans"/>
                <w:bCs/>
                <w:sz w:val="22"/>
                <w:lang w:val="fr-FR"/>
              </w:rPr>
            </w:pPr>
            <w:r w:rsidRPr="00950511">
              <w:rPr>
                <w:rFonts w:ascii="Montserrat SemiBold" w:hAnsi="Montserrat SemiBold" w:cs="Open Sans"/>
                <w:bCs/>
                <w:sz w:val="22"/>
                <w:lang w:val="fr-FR"/>
              </w:rPr>
              <w:t>Risque</w:t>
            </w:r>
            <w:r w:rsidR="008F4A75" w:rsidRPr="00950511">
              <w:rPr>
                <w:rFonts w:ascii="Montserrat SemiBold" w:hAnsi="Montserrat SemiBold" w:cs="Open Sans"/>
                <w:bCs/>
                <w:sz w:val="22"/>
                <w:lang w:val="fr-FR"/>
              </w:rPr>
              <w:t>s</w:t>
            </w:r>
            <w:r w:rsidRPr="00950511">
              <w:rPr>
                <w:rFonts w:ascii="Montserrat SemiBold" w:hAnsi="Montserrat SemiBold" w:cs="Open Sans"/>
                <w:bCs/>
                <w:sz w:val="22"/>
                <w:lang w:val="fr-FR"/>
              </w:rPr>
              <w:t xml:space="preserve"> lié</w:t>
            </w:r>
            <w:r w:rsidR="008F4A75" w:rsidRPr="00950511">
              <w:rPr>
                <w:rFonts w:ascii="Montserrat SemiBold" w:hAnsi="Montserrat SemiBold" w:cs="Open Sans"/>
                <w:bCs/>
                <w:sz w:val="22"/>
                <w:lang w:val="fr-FR"/>
              </w:rPr>
              <w:t>s</w:t>
            </w:r>
            <w:r w:rsidRPr="00950511">
              <w:rPr>
                <w:rFonts w:ascii="Montserrat SemiBold" w:hAnsi="Montserrat SemiBold" w:cs="Open Sans"/>
                <w:bCs/>
                <w:sz w:val="22"/>
                <w:lang w:val="fr-FR"/>
              </w:rPr>
              <w:t xml:space="preserve"> au contexte</w:t>
            </w:r>
          </w:p>
        </w:tc>
      </w:tr>
      <w:tr w:rsidR="007D2271" w:rsidRPr="00950511" w14:paraId="063DD720" w14:textId="77777777" w:rsidTr="00315B1B">
        <w:trPr>
          <w:trHeight w:val="737"/>
          <w:jc w:val="center"/>
        </w:trPr>
        <w:tc>
          <w:tcPr>
            <w:tcW w:w="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6E6866" w14:textId="537F401C" w:rsidR="007D2271" w:rsidRPr="00950511" w:rsidRDefault="003C0A9A"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18"/>
                <w:lang w:val="fr-FR"/>
              </w:rPr>
            </w:pPr>
            <w:r w:rsidRPr="00950511">
              <w:rPr>
                <w:rFonts w:ascii="Montserrat SemiBold" w:hAnsi="Montserrat SemiBold"/>
                <w:bCs/>
                <w:iCs/>
                <w:color w:val="FFFFFF" w:themeColor="background1"/>
                <w:sz w:val="18"/>
                <w:szCs w:val="18"/>
                <w:lang w:val="fr-FR" w:eastAsia="en-GB"/>
              </w:rPr>
              <w:t>Réglementations/lois gouvernementales</w:t>
            </w:r>
          </w:p>
        </w:tc>
        <w:tc>
          <w:tcPr>
            <w:tcW w:w="409" w:type="pct"/>
            <w:shd w:val="clear" w:color="auto" w:fill="auto"/>
            <w:vAlign w:val="center"/>
          </w:tcPr>
          <w:p w14:paraId="30A7C654" w14:textId="77777777" w:rsidR="007D2271" w:rsidRPr="00950511" w:rsidRDefault="007D2271" w:rsidP="00D048BD">
            <w:pPr>
              <w:jc w:val="center"/>
              <w:rPr>
                <w:rFonts w:ascii="Open Sans" w:hAnsi="Open Sans" w:cs="Open Sans"/>
                <w:b/>
                <w:bCs/>
                <w:sz w:val="20"/>
                <w:szCs w:val="20"/>
                <w:lang w:val="fr-FR"/>
              </w:rPr>
            </w:pPr>
          </w:p>
        </w:tc>
        <w:tc>
          <w:tcPr>
            <w:tcW w:w="435" w:type="pct"/>
            <w:shd w:val="clear" w:color="auto" w:fill="auto"/>
            <w:vAlign w:val="center"/>
          </w:tcPr>
          <w:p w14:paraId="2F7063FA" w14:textId="77777777" w:rsidR="007D2271" w:rsidRPr="00950511" w:rsidRDefault="007D2271" w:rsidP="00D048BD">
            <w:pPr>
              <w:pStyle w:val="Prrafodelista"/>
              <w:spacing w:after="0"/>
              <w:ind w:left="314"/>
              <w:rPr>
                <w:rFonts w:ascii="Open Sans" w:hAnsi="Open Sans" w:cs="Open Sans"/>
                <w:sz w:val="20"/>
                <w:szCs w:val="20"/>
                <w:lang w:val="fr-FR"/>
              </w:rPr>
            </w:pPr>
          </w:p>
        </w:tc>
        <w:tc>
          <w:tcPr>
            <w:tcW w:w="3204" w:type="pct"/>
            <w:shd w:val="clear" w:color="auto" w:fill="auto"/>
          </w:tcPr>
          <w:p w14:paraId="6CD720B0" w14:textId="66F13FD9" w:rsidR="003C0A9A"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 xml:space="preserve">Choisissez les processus lors de la conception du projet ME conformément aux réglementations et lois nationales (mécanismes de </w:t>
            </w:r>
            <w:r w:rsidR="00025F86" w:rsidRPr="00950511">
              <w:rPr>
                <w:rFonts w:ascii="Open Sans" w:hAnsi="Open Sans" w:cs="Open Sans"/>
                <w:sz w:val="18"/>
                <w:szCs w:val="18"/>
                <w:lang w:val="fr-FR"/>
              </w:rPr>
              <w:t>distribution</w:t>
            </w:r>
            <w:r w:rsidRPr="00950511">
              <w:rPr>
                <w:rFonts w:ascii="Open Sans" w:hAnsi="Open Sans" w:cs="Open Sans"/>
                <w:sz w:val="18"/>
                <w:szCs w:val="18"/>
                <w:lang w:val="fr-FR"/>
              </w:rPr>
              <w:t xml:space="preserve"> approuvés, par exemple).</w:t>
            </w:r>
          </w:p>
          <w:p w14:paraId="05B83109" w14:textId="15D71D06" w:rsidR="007D2271"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Impliquez les autorités dans le projet pour qu</w:t>
            </w:r>
            <w:r w:rsidR="00D57539" w:rsidRPr="00950511">
              <w:rPr>
                <w:rFonts w:ascii="Open Sans" w:hAnsi="Open Sans" w:cs="Open Sans"/>
                <w:sz w:val="18"/>
                <w:szCs w:val="18"/>
                <w:lang w:val="fr-FR"/>
              </w:rPr>
              <w:t>’</w:t>
            </w:r>
            <w:r w:rsidRPr="00950511">
              <w:rPr>
                <w:rFonts w:ascii="Open Sans" w:hAnsi="Open Sans" w:cs="Open Sans"/>
                <w:sz w:val="18"/>
                <w:szCs w:val="18"/>
                <w:lang w:val="fr-FR"/>
              </w:rPr>
              <w:t>elles apportent des contributions techniques, des approbations, etc.</w:t>
            </w:r>
          </w:p>
        </w:tc>
      </w:tr>
      <w:tr w:rsidR="007D2271" w:rsidRPr="00950511" w14:paraId="0863DA04" w14:textId="77777777" w:rsidTr="00315B1B">
        <w:trPr>
          <w:trHeight w:val="737"/>
          <w:jc w:val="center"/>
        </w:trPr>
        <w:tc>
          <w:tcPr>
            <w:tcW w:w="952" w:type="pct"/>
            <w:shd w:val="clear" w:color="auto" w:fill="A6A6A6" w:themeFill="background1" w:themeFillShade="A6"/>
            <w:vAlign w:val="center"/>
          </w:tcPr>
          <w:p w14:paraId="0D72AA97" w14:textId="2B1006C7" w:rsidR="007D2271" w:rsidRPr="00950511" w:rsidRDefault="003C0A9A"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18"/>
                <w:lang w:val="fr-FR"/>
              </w:rPr>
            </w:pPr>
            <w:r w:rsidRPr="7E553342">
              <w:rPr>
                <w:rFonts w:ascii="Montserrat SemiBold" w:hAnsi="Montserrat SemiBold"/>
                <w:color w:val="FFFFFF" w:themeColor="background1"/>
                <w:sz w:val="18"/>
                <w:szCs w:val="18"/>
                <w:lang w:val="fr-FR"/>
              </w:rPr>
              <w:t>Risques liés à la sécurité d</w:t>
            </w:r>
            <w:r w:rsidR="48F128AE" w:rsidRPr="7E553342">
              <w:rPr>
                <w:rFonts w:ascii="Montserrat SemiBold" w:hAnsi="Montserrat SemiBold"/>
                <w:color w:val="FFFFFF" w:themeColor="background1"/>
                <w:sz w:val="18"/>
                <w:szCs w:val="18"/>
                <w:lang w:val="fr-FR"/>
              </w:rPr>
              <w:t>u personnel employé</w:t>
            </w:r>
            <w:r w:rsidRPr="7E553342">
              <w:rPr>
                <w:rFonts w:ascii="Montserrat SemiBold" w:hAnsi="Montserrat SemiBold"/>
                <w:color w:val="FFFFFF" w:themeColor="background1"/>
                <w:sz w:val="18"/>
                <w:szCs w:val="18"/>
                <w:lang w:val="fr-FR"/>
              </w:rPr>
              <w:t xml:space="preserve"> et des volontaires</w:t>
            </w:r>
          </w:p>
        </w:tc>
        <w:tc>
          <w:tcPr>
            <w:tcW w:w="409" w:type="pct"/>
            <w:shd w:val="clear" w:color="auto" w:fill="auto"/>
            <w:vAlign w:val="center"/>
          </w:tcPr>
          <w:p w14:paraId="03070CAB" w14:textId="77777777" w:rsidR="007D2271" w:rsidRPr="00950511" w:rsidRDefault="007D2271" w:rsidP="00D048BD">
            <w:pPr>
              <w:jc w:val="center"/>
              <w:rPr>
                <w:rFonts w:ascii="Open Sans" w:hAnsi="Open Sans" w:cs="Open Sans"/>
                <w:b/>
                <w:bCs/>
                <w:sz w:val="20"/>
                <w:szCs w:val="20"/>
                <w:lang w:val="fr-FR"/>
              </w:rPr>
            </w:pPr>
          </w:p>
        </w:tc>
        <w:tc>
          <w:tcPr>
            <w:tcW w:w="435" w:type="pct"/>
            <w:shd w:val="clear" w:color="auto" w:fill="auto"/>
            <w:vAlign w:val="center"/>
          </w:tcPr>
          <w:p w14:paraId="407DBD3C" w14:textId="77777777" w:rsidR="007D2271" w:rsidRPr="00950511" w:rsidRDefault="007D2271" w:rsidP="007E3980">
            <w:pPr>
              <w:pStyle w:val="Prrafodelista"/>
              <w:spacing w:after="0"/>
              <w:ind w:left="314"/>
              <w:rPr>
                <w:rFonts w:ascii="Open Sans" w:hAnsi="Open Sans" w:cs="Open Sans"/>
                <w:sz w:val="20"/>
                <w:szCs w:val="20"/>
                <w:lang w:val="fr-FR"/>
              </w:rPr>
            </w:pPr>
          </w:p>
        </w:tc>
        <w:tc>
          <w:tcPr>
            <w:tcW w:w="3204" w:type="pct"/>
            <w:shd w:val="clear" w:color="auto" w:fill="auto"/>
            <w:vAlign w:val="center"/>
          </w:tcPr>
          <w:p w14:paraId="3DDAF199" w14:textId="7BB51097" w:rsidR="003C0A9A"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Dispensez une formation adéquate sur la mise en œuvre du projet ME</w:t>
            </w:r>
            <w:r w:rsidR="00C03963" w:rsidRPr="00950511">
              <w:rPr>
                <w:rFonts w:ascii="Open Sans" w:hAnsi="Open Sans" w:cs="Open Sans"/>
                <w:sz w:val="18"/>
                <w:szCs w:val="18"/>
                <w:lang w:val="fr-FR"/>
              </w:rPr>
              <w:t>.</w:t>
            </w:r>
          </w:p>
          <w:p w14:paraId="0CC394A2" w14:textId="77777777" w:rsidR="003C0A9A"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 xml:space="preserve">Communiquez étroitement avec les autorités nationales et locales, les parties prenantes. </w:t>
            </w:r>
          </w:p>
          <w:p w14:paraId="1B8E5C35" w14:textId="77777777" w:rsidR="00C03963" w:rsidRPr="00950511" w:rsidRDefault="003C0A9A" w:rsidP="00D048BD">
            <w:pPr>
              <w:pStyle w:val="Prrafodelista"/>
              <w:numPr>
                <w:ilvl w:val="0"/>
                <w:numId w:val="6"/>
              </w:numPr>
              <w:spacing w:before="120" w:after="120"/>
              <w:ind w:left="317" w:hanging="284"/>
              <w:jc w:val="left"/>
              <w:rPr>
                <w:rFonts w:ascii="Open Sans" w:hAnsi="Open Sans" w:cs="Open Sans"/>
                <w:sz w:val="18"/>
                <w:szCs w:val="18"/>
                <w:lang w:val="fr-FR"/>
              </w:rPr>
            </w:pPr>
            <w:r w:rsidRPr="00950511">
              <w:rPr>
                <w:rFonts w:ascii="Open Sans" w:hAnsi="Open Sans" w:cs="Open Sans"/>
                <w:sz w:val="18"/>
                <w:szCs w:val="18"/>
                <w:lang w:val="fr-FR"/>
              </w:rPr>
              <w:t>Veillez à ce que le ciblage des bénéficiaires se fasse de manière transparente et participative.</w:t>
            </w:r>
          </w:p>
          <w:p w14:paraId="2E096CA0" w14:textId="5097B1D3" w:rsidR="00C03963" w:rsidRPr="00950511" w:rsidRDefault="003C0A9A" w:rsidP="00D048BD">
            <w:pPr>
              <w:pStyle w:val="Prrafodelista"/>
              <w:numPr>
                <w:ilvl w:val="0"/>
                <w:numId w:val="6"/>
              </w:numPr>
              <w:spacing w:before="120" w:after="120"/>
              <w:ind w:left="317" w:hanging="284"/>
              <w:jc w:val="left"/>
              <w:rPr>
                <w:rFonts w:ascii="Open Sans" w:hAnsi="Open Sans" w:cs="Open Sans"/>
                <w:sz w:val="18"/>
                <w:szCs w:val="18"/>
                <w:lang w:val="fr-FR"/>
              </w:rPr>
            </w:pPr>
            <w:r w:rsidRPr="7E553342">
              <w:rPr>
                <w:rFonts w:ascii="Open Sans" w:hAnsi="Open Sans" w:cs="Open Sans"/>
                <w:sz w:val="18"/>
                <w:szCs w:val="18"/>
                <w:lang w:val="fr-FR"/>
              </w:rPr>
              <w:t>Mettez en place un mécanisme de plainte et de retours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information afin de permettre aux bénéficiaires de formuler des </w:t>
            </w:r>
            <w:r w:rsidR="00025F86" w:rsidRPr="7E553342">
              <w:rPr>
                <w:rFonts w:ascii="Open Sans" w:hAnsi="Open Sans" w:cs="Open Sans"/>
                <w:sz w:val="18"/>
                <w:szCs w:val="18"/>
                <w:lang w:val="fr-FR"/>
              </w:rPr>
              <w:t>plaintes</w:t>
            </w:r>
            <w:r w:rsidRPr="7E553342">
              <w:rPr>
                <w:rFonts w:ascii="Open Sans" w:hAnsi="Open Sans" w:cs="Open Sans"/>
                <w:sz w:val="18"/>
                <w:szCs w:val="18"/>
                <w:lang w:val="fr-FR"/>
              </w:rPr>
              <w:t xml:space="preserve"> </w:t>
            </w:r>
            <w:r w:rsidR="003E1059" w:rsidRPr="7E553342">
              <w:rPr>
                <w:rFonts w:ascii="Open Sans" w:hAnsi="Open Sans" w:cs="Open Sans"/>
                <w:sz w:val="18"/>
                <w:szCs w:val="18"/>
                <w:lang w:val="fr-FR"/>
              </w:rPr>
              <w:t xml:space="preserve">dans un cadre </w:t>
            </w:r>
            <w:r w:rsidR="009E0CE0" w:rsidRPr="7E553342">
              <w:rPr>
                <w:rFonts w:ascii="Open Sans" w:hAnsi="Open Sans" w:cs="Open Sans"/>
                <w:sz w:val="18"/>
                <w:szCs w:val="18"/>
                <w:lang w:val="fr-FR"/>
              </w:rPr>
              <w:t>sécure</w:t>
            </w:r>
            <w:r w:rsidR="003E1059" w:rsidRPr="7E553342">
              <w:rPr>
                <w:rFonts w:ascii="Open Sans" w:hAnsi="Open Sans" w:cs="Open Sans"/>
                <w:sz w:val="18"/>
                <w:szCs w:val="18"/>
                <w:lang w:val="fr-FR"/>
              </w:rPr>
              <w:t xml:space="preserve"> et </w:t>
            </w:r>
            <w:r w:rsidR="009E0CE0" w:rsidRPr="7E553342">
              <w:rPr>
                <w:rFonts w:ascii="Open Sans" w:hAnsi="Open Sans" w:cs="Open Sans"/>
                <w:sz w:val="18"/>
                <w:szCs w:val="18"/>
                <w:lang w:val="fr-FR"/>
              </w:rPr>
              <w:t>rassurant</w:t>
            </w:r>
            <w:r w:rsidR="00C03963" w:rsidRPr="7E553342">
              <w:rPr>
                <w:rFonts w:ascii="Open Sans" w:hAnsi="Open Sans" w:cs="Open Sans"/>
                <w:sz w:val="18"/>
                <w:szCs w:val="18"/>
                <w:lang w:val="fr-FR"/>
              </w:rPr>
              <w:t>.</w:t>
            </w:r>
          </w:p>
          <w:p w14:paraId="673CE936" w14:textId="3A98EF12" w:rsidR="003C0A9A" w:rsidRPr="00950511" w:rsidRDefault="003C0A9A" w:rsidP="00D048BD">
            <w:pPr>
              <w:pStyle w:val="Prrafodelista"/>
              <w:numPr>
                <w:ilvl w:val="0"/>
                <w:numId w:val="6"/>
              </w:numPr>
              <w:spacing w:before="120" w:after="120"/>
              <w:ind w:left="317" w:hanging="284"/>
              <w:jc w:val="left"/>
              <w:rPr>
                <w:rFonts w:ascii="Open Sans" w:hAnsi="Open Sans" w:cs="Open Sans"/>
                <w:sz w:val="18"/>
                <w:szCs w:val="18"/>
                <w:lang w:val="fr-FR"/>
              </w:rPr>
            </w:pPr>
            <w:r w:rsidRPr="00950511">
              <w:rPr>
                <w:rFonts w:ascii="Open Sans" w:hAnsi="Open Sans" w:cs="Open Sans"/>
                <w:sz w:val="18"/>
                <w:szCs w:val="18"/>
                <w:lang w:val="fr-FR"/>
              </w:rPr>
              <w:t>Développez de bonnes relations de travail avec les ONG actives dans la même région</w:t>
            </w:r>
            <w:r w:rsidR="00C03963" w:rsidRPr="00950511">
              <w:rPr>
                <w:rFonts w:ascii="Open Sans" w:hAnsi="Open Sans" w:cs="Open Sans"/>
                <w:sz w:val="18"/>
                <w:szCs w:val="18"/>
                <w:lang w:val="fr-FR"/>
              </w:rPr>
              <w:t>.</w:t>
            </w:r>
          </w:p>
          <w:p w14:paraId="002E294E" w14:textId="276AFF4F" w:rsidR="003C0A9A"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7E553342">
              <w:rPr>
                <w:rFonts w:ascii="Open Sans" w:hAnsi="Open Sans" w:cs="Open Sans"/>
                <w:sz w:val="18"/>
                <w:szCs w:val="18"/>
                <w:lang w:val="fr-FR"/>
              </w:rPr>
              <w:t xml:space="preserve">Assurez-vous que les membres de la communauté comprennent les conséquences de toute menace </w:t>
            </w:r>
            <w:r w:rsidR="000C3073" w:rsidRPr="7E553342">
              <w:rPr>
                <w:rFonts w:ascii="Open Sans" w:hAnsi="Open Sans" w:cs="Open Sans"/>
                <w:sz w:val="18"/>
                <w:szCs w:val="18"/>
                <w:lang w:val="fr-FR"/>
              </w:rPr>
              <w:t xml:space="preserve">portant atteinte à </w:t>
            </w:r>
            <w:r w:rsidRPr="7E553342">
              <w:rPr>
                <w:rFonts w:ascii="Open Sans" w:hAnsi="Open Sans" w:cs="Open Sans"/>
                <w:sz w:val="18"/>
                <w:szCs w:val="18"/>
                <w:lang w:val="fr-FR"/>
              </w:rPr>
              <w:t>la sécurité (le programme peut être arrêté ou suspendu le cas échéant)</w:t>
            </w:r>
            <w:r w:rsidR="00C03963" w:rsidRPr="7E553342">
              <w:rPr>
                <w:rFonts w:ascii="Open Sans" w:hAnsi="Open Sans" w:cs="Open Sans"/>
                <w:sz w:val="18"/>
                <w:szCs w:val="18"/>
                <w:lang w:val="fr-FR"/>
              </w:rPr>
              <w:t>.</w:t>
            </w:r>
          </w:p>
          <w:p w14:paraId="6AB6F863" w14:textId="6E249212" w:rsidR="007D2271" w:rsidRPr="00950511" w:rsidRDefault="003C0A9A" w:rsidP="00C03963">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Prendre en considération les facteurs externes susceptibles d</w:t>
            </w:r>
            <w:r w:rsidR="00D57539" w:rsidRPr="00950511">
              <w:rPr>
                <w:rFonts w:ascii="Open Sans" w:hAnsi="Open Sans" w:cs="Open Sans"/>
                <w:sz w:val="18"/>
                <w:szCs w:val="18"/>
                <w:lang w:val="fr-FR"/>
              </w:rPr>
              <w:t>’</w:t>
            </w:r>
            <w:r w:rsidRPr="00950511">
              <w:rPr>
                <w:rFonts w:ascii="Open Sans" w:hAnsi="Open Sans" w:cs="Open Sans"/>
                <w:sz w:val="18"/>
                <w:szCs w:val="18"/>
                <w:lang w:val="fr-FR"/>
              </w:rPr>
              <w:t>accroître les risques lors de la planification de la distribution d</w:t>
            </w:r>
            <w:r w:rsidR="00D57539" w:rsidRPr="00950511">
              <w:rPr>
                <w:rFonts w:ascii="Open Sans" w:hAnsi="Open Sans" w:cs="Open Sans"/>
                <w:sz w:val="18"/>
                <w:szCs w:val="18"/>
                <w:lang w:val="fr-FR"/>
              </w:rPr>
              <w:t>’</w:t>
            </w:r>
            <w:r w:rsidR="00025F86" w:rsidRPr="00950511">
              <w:rPr>
                <w:rFonts w:ascii="Open Sans" w:hAnsi="Open Sans" w:cs="Open Sans"/>
                <w:sz w:val="18"/>
                <w:szCs w:val="18"/>
                <w:lang w:val="fr-FR"/>
              </w:rPr>
              <w:t>espèces</w:t>
            </w:r>
            <w:r w:rsidRPr="00950511">
              <w:rPr>
                <w:rFonts w:ascii="Open Sans" w:hAnsi="Open Sans" w:cs="Open Sans"/>
                <w:sz w:val="18"/>
                <w:szCs w:val="18"/>
                <w:lang w:val="fr-FR"/>
              </w:rPr>
              <w:t xml:space="preserve"> (par exemple, la période électorale) en cas </w:t>
            </w:r>
            <w:r w:rsidR="00C03963" w:rsidRPr="00950511">
              <w:rPr>
                <w:rFonts w:ascii="Open Sans" w:hAnsi="Open Sans" w:cs="Open Sans"/>
                <w:sz w:val="18"/>
                <w:szCs w:val="18"/>
                <w:lang w:val="fr-FR"/>
              </w:rPr>
              <w:t>de transferts monétaires en espèce.</w:t>
            </w:r>
          </w:p>
        </w:tc>
      </w:tr>
      <w:tr w:rsidR="007D2271" w:rsidRPr="00950511" w14:paraId="121C81DA" w14:textId="77777777" w:rsidTr="00315B1B">
        <w:trPr>
          <w:jc w:val="center"/>
        </w:trPr>
        <w:tc>
          <w:tcPr>
            <w:tcW w:w="952" w:type="pct"/>
            <w:shd w:val="clear" w:color="auto" w:fill="A6A6A6" w:themeFill="background1" w:themeFillShade="A6"/>
            <w:vAlign w:val="center"/>
          </w:tcPr>
          <w:p w14:paraId="79AF7C14" w14:textId="3EC22D73" w:rsidR="007D2271" w:rsidRPr="00950511" w:rsidRDefault="00C03963"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18"/>
                <w:lang w:val="fr-FR"/>
              </w:rPr>
            </w:pPr>
            <w:r w:rsidRPr="00950511">
              <w:rPr>
                <w:rFonts w:ascii="Montserrat SemiBold" w:hAnsi="Montserrat SemiBold"/>
                <w:color w:val="FFFFFF" w:themeColor="background1"/>
                <w:sz w:val="18"/>
                <w:szCs w:val="18"/>
                <w:lang w:val="fr-FR"/>
              </w:rPr>
              <w:lastRenderedPageBreak/>
              <w:t>Risques liés à la sécurité des bénéficiaires</w:t>
            </w:r>
          </w:p>
        </w:tc>
        <w:tc>
          <w:tcPr>
            <w:tcW w:w="409" w:type="pct"/>
            <w:shd w:val="clear" w:color="auto" w:fill="auto"/>
            <w:vAlign w:val="center"/>
          </w:tcPr>
          <w:p w14:paraId="5C38070C" w14:textId="77777777" w:rsidR="007D2271" w:rsidRPr="00950511" w:rsidRDefault="007D2271" w:rsidP="00D048BD">
            <w:pPr>
              <w:jc w:val="center"/>
              <w:rPr>
                <w:rFonts w:ascii="Open Sans" w:hAnsi="Open Sans" w:cs="Open Sans"/>
                <w:b/>
                <w:bCs/>
                <w:sz w:val="20"/>
                <w:szCs w:val="20"/>
                <w:lang w:val="fr-FR"/>
              </w:rPr>
            </w:pPr>
          </w:p>
        </w:tc>
        <w:tc>
          <w:tcPr>
            <w:tcW w:w="435" w:type="pct"/>
            <w:shd w:val="clear" w:color="auto" w:fill="auto"/>
            <w:vAlign w:val="center"/>
          </w:tcPr>
          <w:p w14:paraId="6C7333E5" w14:textId="77777777" w:rsidR="007D2271" w:rsidRPr="00950511" w:rsidRDefault="007D2271" w:rsidP="007E3980">
            <w:pPr>
              <w:pStyle w:val="Prrafodelista"/>
              <w:spacing w:after="0"/>
              <w:ind w:left="314"/>
              <w:rPr>
                <w:rFonts w:ascii="Open Sans" w:hAnsi="Open Sans" w:cs="Open Sans"/>
                <w:sz w:val="20"/>
                <w:szCs w:val="20"/>
                <w:lang w:val="fr-FR"/>
              </w:rPr>
            </w:pPr>
          </w:p>
        </w:tc>
        <w:tc>
          <w:tcPr>
            <w:tcW w:w="3204" w:type="pct"/>
            <w:tcBorders>
              <w:bottom w:val="single" w:sz="4" w:space="0" w:color="auto"/>
            </w:tcBorders>
            <w:shd w:val="clear" w:color="auto" w:fill="auto"/>
            <w:vAlign w:val="center"/>
          </w:tcPr>
          <w:p w14:paraId="275F30DD" w14:textId="77777777" w:rsidR="000A6ABD" w:rsidRDefault="000A6ABD" w:rsidP="000A6ABD">
            <w:pPr>
              <w:pStyle w:val="BulletTableau"/>
              <w:framePr w:hSpace="0" w:wrap="auto" w:vAnchor="margin" w:hAnchor="text" w:yAlign="inline"/>
              <w:numPr>
                <w:ilvl w:val="0"/>
                <w:numId w:val="0"/>
              </w:numPr>
              <w:spacing w:beforeLines="0" w:before="20" w:afterLines="0"/>
              <w:ind w:left="360"/>
              <w:jc w:val="left"/>
              <w:rPr>
                <w:rFonts w:ascii="Open Sans" w:hAnsi="Open Sans" w:cs="Open Sans"/>
                <w:sz w:val="18"/>
                <w:szCs w:val="18"/>
                <w:lang w:val="fr-FR"/>
              </w:rPr>
            </w:pPr>
          </w:p>
          <w:p w14:paraId="2F50403A" w14:textId="6BC2B323" w:rsidR="00C03963"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Veillez à ce que le ciblage des bénéficiaires se fasse de manière transparente et participative, avec des critères précis et identifiables afin d</w:t>
            </w:r>
            <w:r w:rsidR="00D57539" w:rsidRPr="00950511">
              <w:rPr>
                <w:rFonts w:ascii="Open Sans" w:hAnsi="Open Sans" w:cs="Open Sans"/>
                <w:sz w:val="18"/>
                <w:szCs w:val="18"/>
                <w:lang w:val="fr-FR"/>
              </w:rPr>
              <w:t>’</w:t>
            </w:r>
            <w:r w:rsidRPr="00950511">
              <w:rPr>
                <w:rFonts w:ascii="Open Sans" w:hAnsi="Open Sans" w:cs="Open Sans"/>
                <w:sz w:val="18"/>
                <w:szCs w:val="18"/>
                <w:lang w:val="fr-FR"/>
              </w:rPr>
              <w:t>être rigoureusement suivis.</w:t>
            </w:r>
          </w:p>
          <w:p w14:paraId="3D8CB922" w14:textId="6240F721"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Mettez en place un mécanisme de plainte</w:t>
            </w:r>
            <w:r w:rsidR="00025F86" w:rsidRPr="7E553342">
              <w:rPr>
                <w:rFonts w:ascii="Open Sans" w:hAnsi="Open Sans" w:cs="Open Sans"/>
                <w:sz w:val="18"/>
                <w:szCs w:val="18"/>
                <w:lang w:val="fr-FR"/>
              </w:rPr>
              <w:t>s</w:t>
            </w:r>
            <w:r w:rsidRPr="7E553342">
              <w:rPr>
                <w:rFonts w:ascii="Open Sans" w:hAnsi="Open Sans" w:cs="Open Sans"/>
                <w:sz w:val="18"/>
                <w:szCs w:val="18"/>
                <w:lang w:val="fr-FR"/>
              </w:rPr>
              <w:t xml:space="preserve"> et de retours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information afin de permettre aux bénéficiaires de formuler des </w:t>
            </w:r>
            <w:r w:rsidR="00B829E8" w:rsidRPr="7E553342">
              <w:rPr>
                <w:rFonts w:ascii="Open Sans" w:hAnsi="Open Sans" w:cs="Open Sans"/>
                <w:sz w:val="18"/>
                <w:szCs w:val="18"/>
                <w:lang w:val="fr-FR"/>
              </w:rPr>
              <w:t>plaintes</w:t>
            </w:r>
            <w:r w:rsidRPr="7E553342">
              <w:rPr>
                <w:rFonts w:ascii="Open Sans" w:hAnsi="Open Sans" w:cs="Open Sans"/>
                <w:sz w:val="18"/>
                <w:szCs w:val="18"/>
                <w:lang w:val="fr-FR"/>
              </w:rPr>
              <w:t xml:space="preserve"> </w:t>
            </w:r>
            <w:r w:rsidR="009E0CE0" w:rsidRPr="7E553342">
              <w:rPr>
                <w:rFonts w:ascii="Open Sans" w:hAnsi="Open Sans" w:cs="Open Sans"/>
                <w:sz w:val="18"/>
                <w:szCs w:val="18"/>
                <w:lang w:val="fr-FR"/>
              </w:rPr>
              <w:t xml:space="preserve">dans un cadre sécure et rassurant </w:t>
            </w:r>
            <w:r w:rsidR="007D2271" w:rsidRPr="7E553342">
              <w:rPr>
                <w:rFonts w:ascii="Open Sans" w:hAnsi="Open Sans" w:cs="Open Sans"/>
                <w:sz w:val="18"/>
                <w:szCs w:val="18"/>
                <w:lang w:val="fr-FR"/>
              </w:rPr>
              <w:t>(</w:t>
            </w:r>
            <w:r w:rsidRPr="7E553342">
              <w:rPr>
                <w:rFonts w:ascii="Open Sans" w:hAnsi="Open Sans" w:cs="Open Sans"/>
                <w:sz w:val="18"/>
                <w:szCs w:val="18"/>
                <w:lang w:val="fr-FR"/>
              </w:rPr>
              <w:t>dont une ligne d</w:t>
            </w:r>
            <w:r w:rsidR="00D57539" w:rsidRPr="7E553342">
              <w:rPr>
                <w:rFonts w:ascii="Open Sans" w:hAnsi="Open Sans" w:cs="Open Sans"/>
                <w:sz w:val="18"/>
                <w:szCs w:val="18"/>
                <w:lang w:val="fr-FR"/>
              </w:rPr>
              <w:t>’</w:t>
            </w:r>
            <w:r w:rsidRPr="7E553342">
              <w:rPr>
                <w:rFonts w:ascii="Open Sans" w:hAnsi="Open Sans" w:cs="Open Sans"/>
                <w:sz w:val="18"/>
                <w:szCs w:val="18"/>
                <w:lang w:val="fr-FR"/>
              </w:rPr>
              <w:t>assistance téléphonique</w:t>
            </w:r>
            <w:r w:rsidR="007D2271" w:rsidRPr="7E553342">
              <w:rPr>
                <w:rFonts w:ascii="Open Sans" w:hAnsi="Open Sans" w:cs="Open Sans"/>
                <w:sz w:val="18"/>
                <w:szCs w:val="18"/>
                <w:lang w:val="fr-FR"/>
              </w:rPr>
              <w:t>)</w:t>
            </w:r>
            <w:r w:rsidR="005A102E" w:rsidRPr="7E553342">
              <w:rPr>
                <w:rFonts w:ascii="Open Sans" w:hAnsi="Open Sans" w:cs="Open Sans"/>
                <w:sz w:val="18"/>
                <w:szCs w:val="18"/>
                <w:lang w:val="fr-FR"/>
              </w:rPr>
              <w:t>.</w:t>
            </w:r>
          </w:p>
          <w:p w14:paraId="64690EDE" w14:textId="7E8ADEDC" w:rsidR="00C03963" w:rsidRPr="00950511" w:rsidRDefault="00C03963" w:rsidP="00C03963">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Accordez aux bénéficiaires une certaine souplesse quant aux dates de la formation, au moment et à l</w:t>
            </w:r>
            <w:r w:rsidR="00D57539" w:rsidRPr="00950511">
              <w:rPr>
                <w:rFonts w:ascii="Open Sans" w:hAnsi="Open Sans" w:cs="Open Sans"/>
                <w:sz w:val="18"/>
                <w:szCs w:val="18"/>
                <w:lang w:val="fr-FR"/>
              </w:rPr>
              <w:t>’</w:t>
            </w:r>
            <w:r w:rsidRPr="00950511">
              <w:rPr>
                <w:rFonts w:ascii="Open Sans" w:hAnsi="Open Sans" w:cs="Open Sans"/>
                <w:sz w:val="18"/>
                <w:szCs w:val="18"/>
                <w:lang w:val="fr-FR"/>
              </w:rPr>
              <w:t>endroit où ils doivent retirer l</w:t>
            </w:r>
            <w:r w:rsidR="00B829E8" w:rsidRPr="00950511">
              <w:rPr>
                <w:rFonts w:ascii="Open Sans" w:hAnsi="Open Sans" w:cs="Open Sans"/>
                <w:sz w:val="18"/>
                <w:szCs w:val="18"/>
                <w:lang w:val="fr-FR"/>
              </w:rPr>
              <w:t>’aide</w:t>
            </w:r>
            <w:r w:rsidRPr="00950511">
              <w:rPr>
                <w:rFonts w:ascii="Open Sans" w:hAnsi="Open Sans" w:cs="Open Sans"/>
                <w:sz w:val="18"/>
                <w:szCs w:val="18"/>
                <w:lang w:val="fr-FR"/>
              </w:rPr>
              <w:t xml:space="preserve"> en nature ou en espèces (tout le monde ne peut pas retirer </w:t>
            </w:r>
            <w:r w:rsidR="00B829E8" w:rsidRPr="00950511">
              <w:rPr>
                <w:rFonts w:ascii="Open Sans" w:hAnsi="Open Sans" w:cs="Open Sans"/>
                <w:sz w:val="18"/>
                <w:szCs w:val="18"/>
                <w:lang w:val="fr-FR"/>
              </w:rPr>
              <w:t>l’aide</w:t>
            </w:r>
            <w:r w:rsidRPr="00950511">
              <w:rPr>
                <w:rFonts w:ascii="Open Sans" w:hAnsi="Open Sans" w:cs="Open Sans"/>
                <w:sz w:val="18"/>
                <w:szCs w:val="18"/>
                <w:lang w:val="fr-FR"/>
              </w:rPr>
              <w:t xml:space="preserve"> à une heure ou un jour précis).</w:t>
            </w:r>
          </w:p>
          <w:p w14:paraId="56361B66" w14:textId="2D823F16"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 xml:space="preserve">Veillez à ce que les paiements soient effectués </w:t>
            </w:r>
            <w:r w:rsidR="005A102E" w:rsidRPr="00950511">
              <w:rPr>
                <w:rFonts w:ascii="Open Sans" w:hAnsi="Open Sans" w:cs="Open Sans"/>
                <w:sz w:val="18"/>
                <w:szCs w:val="18"/>
                <w:lang w:val="fr-FR"/>
              </w:rPr>
              <w:t>en temps voulu</w:t>
            </w:r>
            <w:r w:rsidRPr="00950511">
              <w:rPr>
                <w:rFonts w:ascii="Open Sans" w:hAnsi="Open Sans" w:cs="Open Sans"/>
                <w:sz w:val="18"/>
                <w:szCs w:val="18"/>
                <w:lang w:val="fr-FR"/>
              </w:rPr>
              <w:t> : les retards peuvent accroître la vulnérabilité des ménages ciblés.</w:t>
            </w:r>
          </w:p>
          <w:p w14:paraId="74C5FE41" w14:textId="19A95B43"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Veillez à ce que la distribution/les paiements soient effectués en temps </w:t>
            </w:r>
            <w:r w:rsidR="00651F25" w:rsidRPr="7E553342">
              <w:rPr>
                <w:rFonts w:ascii="Open Sans" w:hAnsi="Open Sans" w:cs="Open Sans"/>
                <w:sz w:val="18"/>
                <w:szCs w:val="18"/>
                <w:lang w:val="fr-FR"/>
              </w:rPr>
              <w:t>voulu</w:t>
            </w:r>
            <w:r w:rsidRPr="7E553342">
              <w:rPr>
                <w:rFonts w:ascii="Open Sans" w:hAnsi="Open Sans" w:cs="Open Sans"/>
                <w:sz w:val="18"/>
                <w:szCs w:val="18"/>
                <w:lang w:val="fr-FR"/>
              </w:rPr>
              <w:t xml:space="preserve"> pour que les bénéficiaires puissent rejoindre leur domicile à la lueur du jour.</w:t>
            </w:r>
            <w:r w:rsidR="007D2271" w:rsidRPr="7E553342">
              <w:rPr>
                <w:rFonts w:ascii="Open Sans" w:hAnsi="Open Sans" w:cs="Open Sans"/>
                <w:sz w:val="18"/>
                <w:szCs w:val="18"/>
                <w:lang w:val="fr-FR"/>
              </w:rPr>
              <w:t xml:space="preserve"> </w:t>
            </w:r>
            <w:r w:rsidRPr="7E553342">
              <w:rPr>
                <w:rFonts w:ascii="Open Sans" w:hAnsi="Open Sans" w:cs="Open Sans"/>
                <w:sz w:val="18"/>
                <w:szCs w:val="18"/>
                <w:lang w:val="fr-FR"/>
              </w:rPr>
              <w:t>Incitez les bénéficiaires à voyager en groupe et à ne pas garder de grosses sommes d</w:t>
            </w:r>
            <w:r w:rsidR="00D57539" w:rsidRPr="7E553342">
              <w:rPr>
                <w:rFonts w:ascii="Open Sans" w:hAnsi="Open Sans" w:cs="Open Sans"/>
                <w:sz w:val="18"/>
                <w:szCs w:val="18"/>
                <w:lang w:val="fr-FR"/>
              </w:rPr>
              <w:t>’</w:t>
            </w:r>
            <w:r w:rsidRPr="7E553342">
              <w:rPr>
                <w:rFonts w:ascii="Open Sans" w:hAnsi="Open Sans" w:cs="Open Sans"/>
                <w:sz w:val="18"/>
                <w:szCs w:val="18"/>
                <w:lang w:val="fr-FR"/>
              </w:rPr>
              <w:t>argent chez eux.</w:t>
            </w:r>
          </w:p>
          <w:p w14:paraId="6AB7FA86" w14:textId="42EE6776"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Examinez les risques de sécurité spécifiques au sexe, à l</w:t>
            </w:r>
            <w:r w:rsidR="00D57539" w:rsidRPr="00950511">
              <w:rPr>
                <w:rFonts w:ascii="Open Sans" w:hAnsi="Open Sans" w:cs="Open Sans"/>
                <w:sz w:val="18"/>
                <w:szCs w:val="18"/>
                <w:lang w:val="fr-FR"/>
              </w:rPr>
              <w:t>’</w:t>
            </w:r>
            <w:r w:rsidRPr="00950511">
              <w:rPr>
                <w:rFonts w:ascii="Open Sans" w:hAnsi="Open Sans" w:cs="Open Sans"/>
                <w:sz w:val="18"/>
                <w:szCs w:val="18"/>
                <w:lang w:val="fr-FR"/>
              </w:rPr>
              <w:t>âge, à la diversité ou à d</w:t>
            </w:r>
            <w:r w:rsidR="00D57539" w:rsidRPr="00950511">
              <w:rPr>
                <w:rFonts w:ascii="Open Sans" w:hAnsi="Open Sans" w:cs="Open Sans"/>
                <w:sz w:val="18"/>
                <w:szCs w:val="18"/>
                <w:lang w:val="fr-FR"/>
              </w:rPr>
              <w:t>’</w:t>
            </w:r>
            <w:r w:rsidRPr="00950511">
              <w:rPr>
                <w:rFonts w:ascii="Open Sans" w:hAnsi="Open Sans" w:cs="Open Sans"/>
                <w:sz w:val="18"/>
                <w:szCs w:val="18"/>
                <w:lang w:val="fr-FR"/>
              </w:rPr>
              <w:t>autres facteurs, et demandez l</w:t>
            </w:r>
            <w:r w:rsidR="00D57539" w:rsidRPr="00950511">
              <w:rPr>
                <w:rFonts w:ascii="Open Sans" w:hAnsi="Open Sans" w:cs="Open Sans"/>
                <w:sz w:val="18"/>
                <w:szCs w:val="18"/>
                <w:lang w:val="fr-FR"/>
              </w:rPr>
              <w:t>’</w:t>
            </w:r>
            <w:r w:rsidRPr="00950511">
              <w:rPr>
                <w:rFonts w:ascii="Open Sans" w:hAnsi="Open Sans" w:cs="Open Sans"/>
                <w:sz w:val="18"/>
                <w:szCs w:val="18"/>
                <w:lang w:val="fr-FR"/>
              </w:rPr>
              <w:t>avis de la communauté sur la meilleure façon d</w:t>
            </w:r>
            <w:r w:rsidR="00D57539" w:rsidRPr="00950511">
              <w:rPr>
                <w:rFonts w:ascii="Open Sans" w:hAnsi="Open Sans" w:cs="Open Sans"/>
                <w:sz w:val="18"/>
                <w:szCs w:val="18"/>
                <w:lang w:val="fr-FR"/>
              </w:rPr>
              <w:t>’</w:t>
            </w:r>
            <w:r w:rsidRPr="00950511">
              <w:rPr>
                <w:rFonts w:ascii="Open Sans" w:hAnsi="Open Sans" w:cs="Open Sans"/>
                <w:sz w:val="18"/>
                <w:szCs w:val="18"/>
                <w:lang w:val="fr-FR"/>
              </w:rPr>
              <w:t>atténuer ou d</w:t>
            </w:r>
            <w:r w:rsidR="00D57539" w:rsidRPr="00950511">
              <w:rPr>
                <w:rFonts w:ascii="Open Sans" w:hAnsi="Open Sans" w:cs="Open Sans"/>
                <w:sz w:val="18"/>
                <w:szCs w:val="18"/>
                <w:lang w:val="fr-FR"/>
              </w:rPr>
              <w:t>’</w:t>
            </w:r>
            <w:r w:rsidRPr="00950511">
              <w:rPr>
                <w:rFonts w:ascii="Open Sans" w:hAnsi="Open Sans" w:cs="Open Sans"/>
                <w:sz w:val="18"/>
                <w:szCs w:val="18"/>
                <w:lang w:val="fr-FR"/>
              </w:rPr>
              <w:t>éviter ces risques.</w:t>
            </w:r>
          </w:p>
          <w:p w14:paraId="2F12CAB6" w14:textId="081C426E"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Prenez en compte l</w:t>
            </w:r>
            <w:r w:rsidR="00D57539" w:rsidRPr="00950511">
              <w:rPr>
                <w:rFonts w:ascii="Open Sans" w:hAnsi="Open Sans" w:cs="Open Sans"/>
                <w:sz w:val="18"/>
                <w:szCs w:val="18"/>
                <w:lang w:val="fr-FR"/>
              </w:rPr>
              <w:t>’</w:t>
            </w:r>
            <w:r w:rsidRPr="00950511">
              <w:rPr>
                <w:rFonts w:ascii="Open Sans" w:hAnsi="Open Sans" w:cs="Open Sans"/>
                <w:sz w:val="18"/>
                <w:szCs w:val="18"/>
                <w:lang w:val="fr-FR"/>
              </w:rPr>
              <w:t>impact sur les ménages</w:t>
            </w:r>
            <w:r w:rsidR="00D048BD" w:rsidRPr="00950511">
              <w:rPr>
                <w:rFonts w:ascii="Open Sans" w:hAnsi="Open Sans" w:cs="Open Sans"/>
                <w:sz w:val="18"/>
                <w:szCs w:val="18"/>
                <w:lang w:val="fr-FR"/>
              </w:rPr>
              <w:t> </w:t>
            </w:r>
            <w:r w:rsidRPr="00950511">
              <w:rPr>
                <w:rFonts w:ascii="Open Sans" w:hAnsi="Open Sans" w:cs="Open Sans"/>
                <w:sz w:val="18"/>
                <w:szCs w:val="18"/>
                <w:lang w:val="fr-FR"/>
              </w:rPr>
              <w:t>: évitez les tensions, le mécanisme de prise de décision, contribuez à l</w:t>
            </w:r>
            <w:r w:rsidR="00D57539" w:rsidRPr="00950511">
              <w:rPr>
                <w:rFonts w:ascii="Open Sans" w:hAnsi="Open Sans" w:cs="Open Sans"/>
                <w:sz w:val="18"/>
                <w:szCs w:val="18"/>
                <w:lang w:val="fr-FR"/>
              </w:rPr>
              <w:t>’</w:t>
            </w:r>
            <w:r w:rsidRPr="00950511">
              <w:rPr>
                <w:rFonts w:ascii="Open Sans" w:hAnsi="Open Sans" w:cs="Open Sans"/>
                <w:sz w:val="18"/>
                <w:szCs w:val="18"/>
                <w:lang w:val="fr-FR"/>
              </w:rPr>
              <w:t>autonomie, à l</w:t>
            </w:r>
            <w:r w:rsidR="00D57539" w:rsidRPr="00950511">
              <w:rPr>
                <w:rFonts w:ascii="Open Sans" w:hAnsi="Open Sans" w:cs="Open Sans"/>
                <w:sz w:val="18"/>
                <w:szCs w:val="18"/>
                <w:lang w:val="fr-FR"/>
              </w:rPr>
              <w:t>’</w:t>
            </w:r>
            <w:r w:rsidRPr="00950511">
              <w:rPr>
                <w:rFonts w:ascii="Open Sans" w:hAnsi="Open Sans" w:cs="Open Sans"/>
                <w:sz w:val="18"/>
                <w:szCs w:val="18"/>
                <w:lang w:val="fr-FR"/>
              </w:rPr>
              <w:t>indépendance et à la confiance (autonomisation).</w:t>
            </w:r>
          </w:p>
          <w:p w14:paraId="7EF76E65" w14:textId="6A16331F" w:rsidR="007D2271" w:rsidRPr="00950511" w:rsidRDefault="00C0396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Informez-les sur la protection des données sensibles.</w:t>
            </w:r>
          </w:p>
          <w:p w14:paraId="0E1F8F22" w14:textId="77777777" w:rsidR="005960C6" w:rsidRDefault="00EF217F" w:rsidP="00E22D55">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 xml:space="preserve">Informez les bénéficiaires des conséquences de tout </w:t>
            </w:r>
            <w:r w:rsidR="00D048BD" w:rsidRPr="00950511">
              <w:rPr>
                <w:rFonts w:ascii="Open Sans" w:hAnsi="Open Sans" w:cs="Open Sans"/>
                <w:sz w:val="18"/>
                <w:szCs w:val="18"/>
                <w:lang w:val="fr-FR"/>
              </w:rPr>
              <w:t>incident lié à</w:t>
            </w:r>
            <w:r w:rsidRPr="00950511">
              <w:rPr>
                <w:rFonts w:ascii="Open Sans" w:hAnsi="Open Sans" w:cs="Open Sans"/>
                <w:sz w:val="18"/>
                <w:szCs w:val="18"/>
                <w:lang w:val="fr-FR"/>
              </w:rPr>
              <w:t xml:space="preserve"> la sécurité (le programme peut être arrêté, etc.).</w:t>
            </w:r>
          </w:p>
          <w:p w14:paraId="7553276D" w14:textId="26BF25F2" w:rsidR="000A6ABD" w:rsidRPr="00950511" w:rsidRDefault="000A6ABD" w:rsidP="000A6ABD">
            <w:pPr>
              <w:pStyle w:val="BulletTableau"/>
              <w:framePr w:hSpace="0" w:wrap="auto" w:vAnchor="margin" w:hAnchor="text" w:yAlign="inline"/>
              <w:numPr>
                <w:ilvl w:val="0"/>
                <w:numId w:val="0"/>
              </w:numPr>
              <w:spacing w:beforeLines="0" w:before="20" w:afterLines="0"/>
              <w:ind w:left="360"/>
              <w:jc w:val="left"/>
              <w:rPr>
                <w:rFonts w:ascii="Open Sans" w:hAnsi="Open Sans" w:cs="Open Sans"/>
                <w:sz w:val="18"/>
                <w:szCs w:val="18"/>
                <w:lang w:val="fr-FR"/>
              </w:rPr>
            </w:pPr>
          </w:p>
        </w:tc>
      </w:tr>
      <w:tr w:rsidR="007D2271" w:rsidRPr="00950511" w14:paraId="7379162B" w14:textId="77777777" w:rsidTr="000A6ABD">
        <w:trPr>
          <w:trHeight w:val="2609"/>
          <w:jc w:val="center"/>
        </w:trPr>
        <w:tc>
          <w:tcPr>
            <w:tcW w:w="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AE4868" w14:textId="2DB3EEDE" w:rsidR="007D2271" w:rsidRPr="00950511" w:rsidRDefault="005A6A43"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lang w:val="fr-FR"/>
              </w:rPr>
            </w:pPr>
            <w:r w:rsidRPr="00950511">
              <w:rPr>
                <w:rFonts w:ascii="Montserrat SemiBold" w:hAnsi="Montserrat SemiBold"/>
                <w:color w:val="FFFFFF" w:themeColor="background1"/>
                <w:sz w:val="18"/>
                <w:szCs w:val="20"/>
                <w:lang w:val="fr-FR"/>
              </w:rPr>
              <w:t>Risques liés à l</w:t>
            </w:r>
            <w:r w:rsidR="00D57539" w:rsidRPr="00950511">
              <w:rPr>
                <w:rFonts w:ascii="Montserrat SemiBold" w:hAnsi="Montserrat SemiBold"/>
                <w:color w:val="FFFFFF" w:themeColor="background1"/>
                <w:sz w:val="18"/>
                <w:szCs w:val="20"/>
                <w:lang w:val="fr-FR"/>
              </w:rPr>
              <w:t>’</w:t>
            </w:r>
            <w:r w:rsidRPr="00950511">
              <w:rPr>
                <w:rFonts w:ascii="Montserrat SemiBold" w:hAnsi="Montserrat SemiBold"/>
                <w:color w:val="FFFFFF" w:themeColor="background1"/>
                <w:sz w:val="18"/>
                <w:szCs w:val="20"/>
                <w:lang w:val="fr-FR"/>
              </w:rPr>
              <w:t>inflation</w:t>
            </w:r>
          </w:p>
        </w:tc>
        <w:tc>
          <w:tcPr>
            <w:tcW w:w="409" w:type="pct"/>
            <w:shd w:val="clear" w:color="auto" w:fill="auto"/>
            <w:vAlign w:val="center"/>
          </w:tcPr>
          <w:p w14:paraId="3B1CB12C" w14:textId="77777777" w:rsidR="007D2271" w:rsidRPr="00950511" w:rsidRDefault="007D2271" w:rsidP="00D048BD">
            <w:pPr>
              <w:jc w:val="center"/>
              <w:rPr>
                <w:rFonts w:ascii="Open Sans" w:hAnsi="Open Sans" w:cs="Open Sans"/>
                <w:b/>
                <w:bCs/>
                <w:sz w:val="20"/>
                <w:szCs w:val="20"/>
                <w:lang w:val="fr-FR"/>
              </w:rPr>
            </w:pPr>
          </w:p>
        </w:tc>
        <w:tc>
          <w:tcPr>
            <w:tcW w:w="435" w:type="pct"/>
            <w:shd w:val="clear" w:color="auto" w:fill="auto"/>
            <w:vAlign w:val="center"/>
          </w:tcPr>
          <w:p w14:paraId="56C5B455" w14:textId="77777777" w:rsidR="007D2271" w:rsidRPr="00950511" w:rsidRDefault="007D2271" w:rsidP="007E3980">
            <w:pPr>
              <w:pStyle w:val="Prrafodelista"/>
              <w:spacing w:after="0"/>
              <w:ind w:left="314"/>
              <w:rPr>
                <w:rFonts w:ascii="Open Sans" w:hAnsi="Open Sans" w:cs="Open Sans"/>
                <w:sz w:val="20"/>
                <w:szCs w:val="20"/>
                <w:lang w:val="fr-FR"/>
              </w:rPr>
            </w:pPr>
          </w:p>
        </w:tc>
        <w:tc>
          <w:tcPr>
            <w:tcW w:w="3204" w:type="pct"/>
            <w:shd w:val="clear" w:color="auto" w:fill="auto"/>
            <w:vAlign w:val="center"/>
          </w:tcPr>
          <w:p w14:paraId="4C5175DA" w14:textId="77777777" w:rsidR="000A6ABD" w:rsidRDefault="000A6ABD" w:rsidP="000A6ABD">
            <w:pPr>
              <w:pStyle w:val="BulletTableau"/>
              <w:framePr w:hSpace="0" w:wrap="auto" w:vAnchor="margin" w:hAnchor="text" w:yAlign="inline"/>
              <w:numPr>
                <w:ilvl w:val="0"/>
                <w:numId w:val="0"/>
              </w:numPr>
              <w:spacing w:beforeLines="0" w:before="20" w:afterLines="0"/>
              <w:ind w:left="360"/>
              <w:jc w:val="left"/>
              <w:rPr>
                <w:rFonts w:ascii="Open Sans" w:hAnsi="Open Sans" w:cs="Open Sans"/>
                <w:sz w:val="18"/>
                <w:szCs w:val="18"/>
                <w:lang w:val="fr-FR"/>
              </w:rPr>
            </w:pPr>
          </w:p>
          <w:p w14:paraId="4968EEE6" w14:textId="09E25E89" w:rsidR="005A6A43" w:rsidRPr="00950511" w:rsidRDefault="005A6A4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Vérifiez le prix des articles alimentaires et non alimentaires sur les marchés voisins afin de vous assurer que le marché de la région du projet n</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augmente pas les prix de manière déloyale. </w:t>
            </w:r>
          </w:p>
          <w:p w14:paraId="24E43EDA" w14:textId="4B714DDB" w:rsidR="007D2271" w:rsidRPr="00950511" w:rsidRDefault="005A6A43"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 xml:space="preserve">Travaillez avec de petits </w:t>
            </w:r>
            <w:r w:rsidR="00D048BD" w:rsidRPr="00950511">
              <w:rPr>
                <w:rFonts w:ascii="Open Sans" w:hAnsi="Open Sans" w:cs="Open Sans"/>
                <w:sz w:val="18"/>
                <w:szCs w:val="18"/>
                <w:lang w:val="fr-FR"/>
              </w:rPr>
              <w:t>lots</w:t>
            </w:r>
            <w:r w:rsidRPr="00950511">
              <w:rPr>
                <w:rFonts w:ascii="Open Sans" w:hAnsi="Open Sans" w:cs="Open Sans"/>
                <w:sz w:val="18"/>
                <w:szCs w:val="18"/>
                <w:lang w:val="fr-FR"/>
              </w:rPr>
              <w:t xml:space="preserve"> dans un court laps de temps</w:t>
            </w:r>
            <w:r w:rsidR="007D2271" w:rsidRPr="00950511">
              <w:rPr>
                <w:rFonts w:ascii="Open Sans" w:hAnsi="Open Sans" w:cs="Open Sans"/>
                <w:sz w:val="18"/>
                <w:szCs w:val="18"/>
                <w:lang w:val="fr-FR"/>
              </w:rPr>
              <w:t xml:space="preserve">. </w:t>
            </w:r>
          </w:p>
          <w:p w14:paraId="0258EF56" w14:textId="77777777" w:rsidR="005960C6" w:rsidRDefault="005A6A43" w:rsidP="00E22D55">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Il convient de rechercher des fournisseurs et d</w:t>
            </w:r>
            <w:r w:rsidR="00D57539" w:rsidRPr="00950511">
              <w:rPr>
                <w:rFonts w:ascii="Open Sans" w:hAnsi="Open Sans" w:cs="Open Sans"/>
                <w:sz w:val="18"/>
                <w:szCs w:val="18"/>
                <w:lang w:val="fr-FR"/>
              </w:rPr>
              <w:t>’</w:t>
            </w:r>
            <w:r w:rsidRPr="00950511">
              <w:rPr>
                <w:rFonts w:ascii="Open Sans" w:hAnsi="Open Sans" w:cs="Open Sans"/>
                <w:sz w:val="18"/>
                <w:szCs w:val="18"/>
                <w:lang w:val="fr-FR"/>
              </w:rPr>
              <w:t>évaluer les prix avant d</w:t>
            </w:r>
            <w:r w:rsidR="00D57539" w:rsidRPr="00950511">
              <w:rPr>
                <w:rFonts w:ascii="Open Sans" w:hAnsi="Open Sans" w:cs="Open Sans"/>
                <w:sz w:val="18"/>
                <w:szCs w:val="18"/>
                <w:lang w:val="fr-FR"/>
              </w:rPr>
              <w:t>’</w:t>
            </w:r>
            <w:r w:rsidR="00D048BD" w:rsidRPr="00950511">
              <w:rPr>
                <w:rFonts w:ascii="Open Sans" w:hAnsi="Open Sans" w:cs="Open Sans"/>
                <w:sz w:val="18"/>
                <w:szCs w:val="18"/>
                <w:lang w:val="fr-FR"/>
              </w:rPr>
              <w:t>octroyer</w:t>
            </w:r>
            <w:r w:rsidRPr="00950511">
              <w:rPr>
                <w:rFonts w:ascii="Open Sans" w:hAnsi="Open Sans" w:cs="Open Sans"/>
                <w:sz w:val="18"/>
                <w:szCs w:val="18"/>
                <w:lang w:val="fr-FR"/>
              </w:rPr>
              <w:t xml:space="preserve"> des transferts monétaires en espèces ou des aides en nature.</w:t>
            </w:r>
          </w:p>
          <w:p w14:paraId="0F831A98" w14:textId="77777777" w:rsidR="00AF6134" w:rsidRDefault="00AF6134" w:rsidP="00AF6134">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fr-FR"/>
              </w:rPr>
            </w:pPr>
          </w:p>
          <w:p w14:paraId="634BF168" w14:textId="28E25FD4" w:rsidR="00AF6134" w:rsidRPr="00950511" w:rsidRDefault="00AF6134" w:rsidP="00AF6134">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fr-FR"/>
              </w:rPr>
            </w:pPr>
          </w:p>
        </w:tc>
      </w:tr>
      <w:tr w:rsidR="007D2271" w:rsidRPr="00950511" w14:paraId="4BC05581" w14:textId="77777777" w:rsidTr="6838ACE2">
        <w:trPr>
          <w:jc w:val="center"/>
        </w:trPr>
        <w:tc>
          <w:tcPr>
            <w:tcW w:w="5000" w:type="pct"/>
            <w:gridSpan w:val="4"/>
            <w:shd w:val="clear" w:color="auto" w:fill="F2F2F2" w:themeFill="background1" w:themeFillShade="F2"/>
          </w:tcPr>
          <w:p w14:paraId="07546556" w14:textId="5878679B" w:rsidR="007D2271" w:rsidRPr="00950511" w:rsidRDefault="00EA6A86" w:rsidP="00AF6134">
            <w:pPr>
              <w:pStyle w:val="BulletTableau"/>
              <w:framePr w:hSpace="0" w:wrap="auto" w:vAnchor="margin" w:hAnchor="text" w:yAlign="inline"/>
              <w:numPr>
                <w:ilvl w:val="0"/>
                <w:numId w:val="0"/>
              </w:numPr>
              <w:spacing w:beforeLines="0" w:before="20" w:afterLines="0"/>
              <w:jc w:val="left"/>
              <w:rPr>
                <w:rFonts w:ascii="Montserrat SemiBold" w:hAnsi="Montserrat SemiBold" w:cs="Open Sans"/>
                <w:bCs/>
                <w:sz w:val="22"/>
                <w:lang w:val="fr-FR"/>
              </w:rPr>
            </w:pPr>
            <w:r w:rsidRPr="00950511">
              <w:rPr>
                <w:rFonts w:ascii="Montserrat SemiBold" w:hAnsi="Montserrat SemiBold"/>
                <w:lang w:val="fr-FR"/>
              </w:rPr>
              <w:lastRenderedPageBreak/>
              <w:t xml:space="preserve">Risques liés aux </w:t>
            </w:r>
            <w:r w:rsidRPr="000A6ABD">
              <w:rPr>
                <w:rFonts w:ascii="Montserrat SemiBold" w:hAnsi="Montserrat SemiBold"/>
                <w:lang w:val="fr-FR"/>
              </w:rPr>
              <w:t>programmes</w:t>
            </w:r>
          </w:p>
        </w:tc>
      </w:tr>
      <w:tr w:rsidR="007D2271" w:rsidRPr="00950511" w14:paraId="204CCB66" w14:textId="77777777" w:rsidTr="00AF6134">
        <w:trPr>
          <w:jc w:val="center"/>
        </w:trPr>
        <w:tc>
          <w:tcPr>
            <w:tcW w:w="952" w:type="pct"/>
            <w:shd w:val="clear" w:color="auto" w:fill="A6A6A6" w:themeFill="background1" w:themeFillShade="A6"/>
            <w:vAlign w:val="center"/>
          </w:tcPr>
          <w:p w14:paraId="451F8560" w14:textId="669C6180" w:rsidR="00EA6A86" w:rsidRPr="00950511" w:rsidRDefault="00EA6A86"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lang w:val="fr-FR"/>
              </w:rPr>
            </w:pPr>
            <w:r w:rsidRPr="00950511">
              <w:rPr>
                <w:rFonts w:ascii="Montserrat SemiBold" w:hAnsi="Montserrat SemiBold"/>
                <w:color w:val="FFFFFF" w:themeColor="background1"/>
                <w:sz w:val="18"/>
                <w:szCs w:val="20"/>
                <w:lang w:val="fr-FR"/>
              </w:rPr>
              <w:t xml:space="preserve">Plaintes concernant le processus de </w:t>
            </w:r>
            <w:r w:rsidR="00D57539" w:rsidRPr="00950511">
              <w:rPr>
                <w:rFonts w:ascii="Montserrat SemiBold" w:hAnsi="Montserrat SemiBold"/>
                <w:color w:val="FFFFFF" w:themeColor="background1"/>
                <w:sz w:val="18"/>
                <w:szCs w:val="20"/>
                <w:lang w:val="fr-FR"/>
              </w:rPr>
              <w:t>sélection</w:t>
            </w:r>
            <w:r w:rsidR="00027671" w:rsidRPr="00950511">
              <w:rPr>
                <w:rFonts w:ascii="Montserrat SemiBold" w:hAnsi="Montserrat SemiBold"/>
                <w:color w:val="FFFFFF" w:themeColor="background1"/>
                <w:sz w:val="18"/>
                <w:szCs w:val="20"/>
                <w:lang w:val="fr-FR"/>
              </w:rPr>
              <w:t>.</w:t>
            </w:r>
          </w:p>
          <w:p w14:paraId="21A3D03A" w14:textId="6D4AB8B1" w:rsidR="007D2271" w:rsidRPr="00950511" w:rsidRDefault="000720FF"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lang w:val="fr-FR"/>
              </w:rPr>
            </w:pPr>
            <w:r w:rsidRPr="00950511">
              <w:rPr>
                <w:rFonts w:ascii="Montserrat SemiBold" w:hAnsi="Montserrat SemiBold"/>
                <w:color w:val="FFFFFF" w:themeColor="background1"/>
                <w:sz w:val="18"/>
                <w:szCs w:val="20"/>
                <w:lang w:val="fr-FR"/>
              </w:rPr>
              <w:t>Conflits sociaux liés à l</w:t>
            </w:r>
            <w:r w:rsidR="00D57539" w:rsidRPr="00950511">
              <w:rPr>
                <w:rFonts w:ascii="Montserrat SemiBold" w:hAnsi="Montserrat SemiBold"/>
                <w:color w:val="FFFFFF" w:themeColor="background1"/>
                <w:sz w:val="18"/>
                <w:szCs w:val="20"/>
                <w:lang w:val="fr-FR"/>
              </w:rPr>
              <w:t>’</w:t>
            </w:r>
            <w:r w:rsidRPr="00950511">
              <w:rPr>
                <w:rFonts w:ascii="Montserrat SemiBold" w:hAnsi="Montserrat SemiBold"/>
                <w:color w:val="FFFFFF" w:themeColor="background1"/>
                <w:sz w:val="18"/>
                <w:szCs w:val="20"/>
                <w:lang w:val="fr-FR"/>
              </w:rPr>
              <w:t>approche de ciblage des bénéficiaires</w:t>
            </w:r>
            <w:r w:rsidR="00027671" w:rsidRPr="00950511">
              <w:rPr>
                <w:rFonts w:ascii="Montserrat SemiBold" w:hAnsi="Montserrat SemiBold"/>
                <w:color w:val="FFFFFF" w:themeColor="background1"/>
                <w:sz w:val="18"/>
                <w:szCs w:val="20"/>
                <w:lang w:val="fr-FR"/>
              </w:rPr>
              <w:t>.</w:t>
            </w:r>
          </w:p>
        </w:tc>
        <w:tc>
          <w:tcPr>
            <w:tcW w:w="409" w:type="pct"/>
            <w:vAlign w:val="center"/>
          </w:tcPr>
          <w:p w14:paraId="24780781" w14:textId="77777777" w:rsidR="007D2271" w:rsidRPr="00950511" w:rsidRDefault="007D2271" w:rsidP="00D048BD">
            <w:pPr>
              <w:spacing w:line="276" w:lineRule="auto"/>
              <w:jc w:val="center"/>
              <w:rPr>
                <w:rFonts w:ascii="Open Sans" w:hAnsi="Open Sans" w:cs="Open Sans"/>
                <w:b/>
                <w:bCs/>
                <w:sz w:val="20"/>
                <w:szCs w:val="20"/>
                <w:lang w:val="fr-FR"/>
              </w:rPr>
            </w:pPr>
          </w:p>
        </w:tc>
        <w:tc>
          <w:tcPr>
            <w:tcW w:w="435" w:type="pct"/>
          </w:tcPr>
          <w:p w14:paraId="2BC4AFD0" w14:textId="77777777" w:rsidR="007D2271" w:rsidRPr="00950511" w:rsidRDefault="007D2271" w:rsidP="00D048BD">
            <w:pPr>
              <w:pStyle w:val="Prrafodelista"/>
              <w:spacing w:after="0"/>
              <w:ind w:left="314"/>
              <w:rPr>
                <w:rFonts w:ascii="Open Sans" w:hAnsi="Open Sans" w:cs="Open Sans"/>
                <w:sz w:val="20"/>
                <w:szCs w:val="20"/>
                <w:lang w:val="fr-FR"/>
              </w:rPr>
            </w:pPr>
          </w:p>
        </w:tc>
        <w:tc>
          <w:tcPr>
            <w:tcW w:w="3204" w:type="pct"/>
          </w:tcPr>
          <w:p w14:paraId="33999122" w14:textId="55674671"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Un numéro d</w:t>
            </w:r>
            <w:r w:rsidR="00D57539" w:rsidRPr="00950511">
              <w:rPr>
                <w:rFonts w:ascii="Open Sans" w:hAnsi="Open Sans" w:cs="Open Sans"/>
                <w:sz w:val="18"/>
                <w:szCs w:val="18"/>
                <w:lang w:val="fr-FR"/>
              </w:rPr>
              <w:t>’</w:t>
            </w:r>
            <w:r w:rsidRPr="00950511">
              <w:rPr>
                <w:rFonts w:ascii="Open Sans" w:hAnsi="Open Sans" w:cs="Open Sans"/>
                <w:sz w:val="18"/>
                <w:szCs w:val="18"/>
                <w:lang w:val="fr-FR"/>
              </w:rPr>
              <w:t>assistance téléphonique ou une boîte destinée à recevoir les plaintes des bénéficiaires sera mis en place</w:t>
            </w:r>
            <w:r w:rsidR="007D2271" w:rsidRPr="00950511">
              <w:rPr>
                <w:rFonts w:ascii="Open Sans" w:hAnsi="Open Sans" w:cs="Open Sans"/>
                <w:sz w:val="18"/>
                <w:szCs w:val="18"/>
                <w:lang w:val="fr-FR"/>
              </w:rPr>
              <w:t>.</w:t>
            </w:r>
          </w:p>
          <w:p w14:paraId="2561A5A3" w14:textId="56BAD710"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Les volontaires doivent informer les bénéficiaires que des critères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éligibilité et de sélection sont appliqués et </w:t>
            </w:r>
            <w:r w:rsidR="00CA0DB5" w:rsidRPr="7E553342">
              <w:rPr>
                <w:rFonts w:ascii="Open Sans" w:hAnsi="Open Sans" w:cs="Open Sans"/>
                <w:sz w:val="18"/>
                <w:szCs w:val="18"/>
                <w:lang w:val="fr-FR"/>
              </w:rPr>
              <w:t>i</w:t>
            </w:r>
            <w:r w:rsidRPr="7E553342">
              <w:rPr>
                <w:rFonts w:ascii="Open Sans" w:hAnsi="Open Sans" w:cs="Open Sans"/>
                <w:sz w:val="18"/>
                <w:szCs w:val="18"/>
                <w:lang w:val="fr-FR"/>
              </w:rPr>
              <w:t>ls ne promett</w:t>
            </w:r>
            <w:r w:rsidR="00CA0DB5" w:rsidRPr="7E553342">
              <w:rPr>
                <w:rFonts w:ascii="Open Sans" w:hAnsi="Open Sans" w:cs="Open Sans"/>
                <w:sz w:val="18"/>
                <w:szCs w:val="18"/>
                <w:lang w:val="fr-FR"/>
              </w:rPr>
              <w:t>ront</w:t>
            </w:r>
            <w:r w:rsidRPr="7E553342">
              <w:rPr>
                <w:rFonts w:ascii="Open Sans" w:hAnsi="Open Sans" w:cs="Open Sans"/>
                <w:sz w:val="18"/>
                <w:szCs w:val="18"/>
                <w:lang w:val="fr-FR"/>
              </w:rPr>
              <w:t xml:space="preserve"> en aucun cas que les bénéficiaires évalués ou contactés recevront une aide quelconque</w:t>
            </w:r>
            <w:r w:rsidR="007D2271" w:rsidRPr="7E553342">
              <w:rPr>
                <w:rFonts w:ascii="Open Sans" w:hAnsi="Open Sans" w:cs="Open Sans"/>
                <w:sz w:val="18"/>
                <w:szCs w:val="18"/>
                <w:lang w:val="fr-FR"/>
              </w:rPr>
              <w:t>.</w:t>
            </w:r>
          </w:p>
          <w:p w14:paraId="2E1C215A" w14:textId="01253318"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Encouragez la mobilisation de la communauté et la sensibilisation à l</w:t>
            </w:r>
            <w:r w:rsidR="00D57539" w:rsidRPr="7E553342">
              <w:rPr>
                <w:rFonts w:ascii="Open Sans" w:hAnsi="Open Sans" w:cs="Open Sans"/>
                <w:sz w:val="18"/>
                <w:szCs w:val="18"/>
                <w:lang w:val="fr-FR"/>
              </w:rPr>
              <w:t>’</w:t>
            </w:r>
            <w:r w:rsidRPr="7E553342">
              <w:rPr>
                <w:rFonts w:ascii="Open Sans" w:hAnsi="Open Sans" w:cs="Open Sans"/>
                <w:sz w:val="18"/>
                <w:szCs w:val="18"/>
                <w:lang w:val="fr-FR"/>
              </w:rPr>
              <w:t>objectif de l</w:t>
            </w:r>
            <w:r w:rsidR="00D57539" w:rsidRPr="7E553342">
              <w:rPr>
                <w:rFonts w:ascii="Open Sans" w:hAnsi="Open Sans" w:cs="Open Sans"/>
                <w:sz w:val="18"/>
                <w:szCs w:val="18"/>
                <w:lang w:val="fr-FR"/>
              </w:rPr>
              <w:t>’</w:t>
            </w:r>
            <w:r w:rsidRPr="7E553342">
              <w:rPr>
                <w:rFonts w:ascii="Open Sans" w:hAnsi="Open Sans" w:cs="Open Sans"/>
                <w:sz w:val="18"/>
                <w:szCs w:val="18"/>
                <w:lang w:val="fr-FR"/>
              </w:rPr>
              <w:t>activité et les bénéficiaires sélectionnés</w:t>
            </w:r>
            <w:r w:rsidR="007D2271" w:rsidRPr="7E553342">
              <w:rPr>
                <w:rFonts w:ascii="Open Sans" w:hAnsi="Open Sans" w:cs="Open Sans"/>
                <w:sz w:val="18"/>
                <w:szCs w:val="18"/>
                <w:lang w:val="fr-FR"/>
              </w:rPr>
              <w:t xml:space="preserve">. </w:t>
            </w:r>
          </w:p>
          <w:p w14:paraId="083849F2" w14:textId="3C69FCD0"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 xml:space="preserve">Les listes et les initiatives </w:t>
            </w:r>
            <w:r w:rsidR="00CA0DB5" w:rsidRPr="00950511">
              <w:rPr>
                <w:rFonts w:ascii="Open Sans" w:hAnsi="Open Sans" w:cs="Open Sans"/>
                <w:sz w:val="18"/>
                <w:szCs w:val="18"/>
                <w:lang w:val="fr-FR"/>
              </w:rPr>
              <w:t xml:space="preserve">des bénéficiaires </w:t>
            </w:r>
            <w:r w:rsidRPr="00950511">
              <w:rPr>
                <w:rFonts w:ascii="Open Sans" w:hAnsi="Open Sans" w:cs="Open Sans"/>
                <w:sz w:val="18"/>
                <w:szCs w:val="18"/>
                <w:lang w:val="fr-FR"/>
              </w:rPr>
              <w:t>doivent être diffusées par le Comité CEA</w:t>
            </w:r>
            <w:r w:rsidR="007D2271" w:rsidRPr="00950511">
              <w:rPr>
                <w:rFonts w:ascii="Open Sans" w:hAnsi="Open Sans" w:cs="Open Sans"/>
                <w:sz w:val="18"/>
                <w:szCs w:val="18"/>
                <w:lang w:val="fr-FR"/>
              </w:rPr>
              <w:t>.</w:t>
            </w:r>
          </w:p>
          <w:p w14:paraId="727990FE" w14:textId="2EEDFA4D"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Les critères doivent être expliqués à tous les membres de la communauté</w:t>
            </w:r>
            <w:r w:rsidR="007D2271" w:rsidRPr="00950511">
              <w:rPr>
                <w:rFonts w:ascii="Open Sans" w:hAnsi="Open Sans" w:cs="Open Sans"/>
                <w:sz w:val="18"/>
                <w:szCs w:val="18"/>
                <w:lang w:val="fr-FR"/>
              </w:rPr>
              <w:t>.</w:t>
            </w:r>
          </w:p>
          <w:p w14:paraId="3CBC5670" w14:textId="07360C3B" w:rsidR="007D2271" w:rsidRPr="00950511" w:rsidRDefault="00EA6A86"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La liste des bénéficiaires sélectionnés doit être publiée dans le bureau local afin d</w:t>
            </w:r>
            <w:r w:rsidR="00D57539" w:rsidRPr="7E553342">
              <w:rPr>
                <w:rFonts w:ascii="Open Sans" w:hAnsi="Open Sans" w:cs="Open Sans"/>
                <w:sz w:val="18"/>
                <w:szCs w:val="18"/>
                <w:lang w:val="fr-FR"/>
              </w:rPr>
              <w:t>’</w:t>
            </w:r>
            <w:r w:rsidRPr="7E553342">
              <w:rPr>
                <w:rFonts w:ascii="Open Sans" w:hAnsi="Open Sans" w:cs="Open Sans"/>
                <w:sz w:val="18"/>
                <w:szCs w:val="18"/>
                <w:lang w:val="fr-FR"/>
              </w:rPr>
              <w:t>être éventuellement consultée</w:t>
            </w:r>
            <w:r w:rsidR="007D2271" w:rsidRPr="7E553342">
              <w:rPr>
                <w:rFonts w:ascii="Open Sans" w:hAnsi="Open Sans" w:cs="Open Sans"/>
                <w:sz w:val="18"/>
                <w:szCs w:val="18"/>
                <w:lang w:val="fr-FR"/>
              </w:rPr>
              <w:t>.</w:t>
            </w:r>
          </w:p>
        </w:tc>
      </w:tr>
      <w:tr w:rsidR="007D2271" w:rsidRPr="00950511" w14:paraId="5B87425E" w14:textId="77777777" w:rsidTr="00315B1B">
        <w:trPr>
          <w:jc w:val="center"/>
        </w:trPr>
        <w:tc>
          <w:tcPr>
            <w:tcW w:w="952" w:type="pct"/>
            <w:shd w:val="clear" w:color="auto" w:fill="A6A6A6" w:themeFill="background1" w:themeFillShade="A6"/>
            <w:vAlign w:val="center"/>
          </w:tcPr>
          <w:p w14:paraId="3D23D12F" w14:textId="757D91AE" w:rsidR="007D2271" w:rsidRPr="00950511" w:rsidRDefault="000720FF"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lang w:val="fr-FR"/>
              </w:rPr>
            </w:pPr>
            <w:r w:rsidRPr="00950511">
              <w:rPr>
                <w:rFonts w:ascii="Montserrat SemiBold" w:hAnsi="Montserrat SemiBold"/>
                <w:color w:val="FFFFFF" w:themeColor="background1"/>
                <w:sz w:val="18"/>
                <w:szCs w:val="20"/>
                <w:lang w:val="fr-FR"/>
              </w:rPr>
              <w:t xml:space="preserve">Un grand nombre de bénéficiaires finissent par sélectionner le même ME </w:t>
            </w:r>
            <w:r w:rsidR="0049461D" w:rsidRPr="00950511">
              <w:rPr>
                <w:rFonts w:ascii="Montserrat SemiBold" w:hAnsi="Montserrat SemiBold"/>
                <w:color w:val="FFFFFF" w:themeColor="background1"/>
                <w:sz w:val="18"/>
                <w:szCs w:val="20"/>
                <w:lang w:val="fr-FR"/>
              </w:rPr>
              <w:t>pendant les</w:t>
            </w:r>
            <w:r w:rsidRPr="00950511">
              <w:rPr>
                <w:rFonts w:ascii="Montserrat SemiBold" w:hAnsi="Montserrat SemiBold"/>
                <w:color w:val="FFFFFF" w:themeColor="background1"/>
                <w:sz w:val="18"/>
                <w:szCs w:val="20"/>
                <w:lang w:val="fr-FR"/>
              </w:rPr>
              <w:t xml:space="preserve"> formations</w:t>
            </w:r>
            <w:r w:rsidR="00027671" w:rsidRPr="00950511">
              <w:rPr>
                <w:rFonts w:ascii="Montserrat SemiBold" w:hAnsi="Montserrat SemiBold"/>
                <w:color w:val="FFFFFF" w:themeColor="background1"/>
                <w:sz w:val="18"/>
                <w:szCs w:val="20"/>
                <w:lang w:val="fr-FR"/>
              </w:rPr>
              <w:t>.</w:t>
            </w:r>
          </w:p>
        </w:tc>
        <w:tc>
          <w:tcPr>
            <w:tcW w:w="409" w:type="pct"/>
            <w:shd w:val="clear" w:color="auto" w:fill="auto"/>
            <w:vAlign w:val="center"/>
          </w:tcPr>
          <w:p w14:paraId="221CDCB4" w14:textId="77777777" w:rsidR="007D2271" w:rsidRPr="00950511" w:rsidRDefault="007D2271" w:rsidP="00D048BD">
            <w:pPr>
              <w:jc w:val="center"/>
              <w:rPr>
                <w:rFonts w:ascii="Open Sans" w:hAnsi="Open Sans" w:cs="Open Sans"/>
                <w:b/>
                <w:bCs/>
                <w:sz w:val="20"/>
                <w:szCs w:val="20"/>
                <w:lang w:val="fr-FR"/>
              </w:rPr>
            </w:pPr>
          </w:p>
        </w:tc>
        <w:tc>
          <w:tcPr>
            <w:tcW w:w="435" w:type="pct"/>
            <w:shd w:val="clear" w:color="auto" w:fill="auto"/>
            <w:vAlign w:val="center"/>
          </w:tcPr>
          <w:p w14:paraId="484BBD0E" w14:textId="77777777" w:rsidR="007D2271" w:rsidRPr="00950511" w:rsidRDefault="007D2271" w:rsidP="00D048BD">
            <w:pPr>
              <w:pStyle w:val="Prrafodelista"/>
              <w:spacing w:after="0"/>
              <w:ind w:left="314"/>
              <w:rPr>
                <w:rFonts w:ascii="Open Sans" w:hAnsi="Open Sans" w:cs="Open Sans"/>
                <w:sz w:val="20"/>
                <w:szCs w:val="20"/>
                <w:lang w:val="fr-FR"/>
              </w:rPr>
            </w:pPr>
          </w:p>
        </w:tc>
        <w:tc>
          <w:tcPr>
            <w:tcW w:w="3204" w:type="pct"/>
            <w:shd w:val="clear" w:color="auto" w:fill="auto"/>
            <w:vAlign w:val="center"/>
          </w:tcPr>
          <w:p w14:paraId="13E3284A" w14:textId="49D48546" w:rsidR="007D2271" w:rsidRPr="00950511" w:rsidRDefault="000720FF"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w:t>
            </w:r>
            <w:r w:rsidR="00D57539" w:rsidRPr="00950511">
              <w:rPr>
                <w:rFonts w:ascii="Open Sans" w:hAnsi="Open Sans" w:cs="Open Sans"/>
                <w:sz w:val="18"/>
                <w:szCs w:val="18"/>
                <w:lang w:val="fr-FR"/>
              </w:rPr>
              <w:t>’</w:t>
            </w:r>
            <w:r w:rsidRPr="00950511">
              <w:rPr>
                <w:rFonts w:ascii="Open Sans" w:hAnsi="Open Sans" w:cs="Open Sans"/>
                <w:sz w:val="18"/>
                <w:szCs w:val="18"/>
                <w:lang w:val="fr-FR"/>
              </w:rPr>
              <w:t>équipe de terrain doit s</w:t>
            </w:r>
            <w:r w:rsidR="00D57539" w:rsidRPr="00950511">
              <w:rPr>
                <w:rFonts w:ascii="Open Sans" w:hAnsi="Open Sans" w:cs="Open Sans"/>
                <w:sz w:val="18"/>
                <w:szCs w:val="18"/>
                <w:lang w:val="fr-FR"/>
              </w:rPr>
              <w:t>’</w:t>
            </w:r>
            <w:r w:rsidRPr="00950511">
              <w:rPr>
                <w:rFonts w:ascii="Open Sans" w:hAnsi="Open Sans" w:cs="Open Sans"/>
                <w:sz w:val="18"/>
                <w:szCs w:val="18"/>
                <w:lang w:val="fr-FR"/>
              </w:rPr>
              <w:t>engager auprès des bénéficiaires en assurant la diversité des ME selon l</w:t>
            </w:r>
            <w:r w:rsidR="00D57539" w:rsidRPr="00950511">
              <w:rPr>
                <w:rFonts w:ascii="Open Sans" w:hAnsi="Open Sans" w:cs="Open Sans"/>
                <w:sz w:val="18"/>
                <w:szCs w:val="18"/>
                <w:lang w:val="fr-FR"/>
              </w:rPr>
              <w:t>’</w:t>
            </w:r>
            <w:r w:rsidRPr="00950511">
              <w:rPr>
                <w:rFonts w:ascii="Open Sans" w:hAnsi="Open Sans" w:cs="Open Sans"/>
                <w:sz w:val="18"/>
                <w:szCs w:val="18"/>
                <w:lang w:val="fr-FR"/>
              </w:rPr>
              <w:t>évaluation initiale des opportunités</w:t>
            </w:r>
            <w:r w:rsidR="007D2271" w:rsidRPr="00950511">
              <w:rPr>
                <w:rFonts w:ascii="Open Sans" w:hAnsi="Open Sans" w:cs="Open Sans"/>
                <w:sz w:val="18"/>
                <w:szCs w:val="18"/>
                <w:lang w:val="fr-FR"/>
              </w:rPr>
              <w:t xml:space="preserve">. </w:t>
            </w:r>
          </w:p>
          <w:p w14:paraId="1CA0AFDC" w14:textId="71228389" w:rsidR="007D2271" w:rsidRPr="00950511" w:rsidRDefault="000720FF"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Il est recommandé de sélectionner le type de ME en fonction des connaissances et compétences préexistantes du bénéficiaire et des demandes du marché, ce qui </w:t>
            </w:r>
            <w:r w:rsidR="00D50875" w:rsidRPr="7E553342">
              <w:rPr>
                <w:rFonts w:ascii="Open Sans" w:hAnsi="Open Sans" w:cs="Open Sans"/>
                <w:sz w:val="18"/>
                <w:szCs w:val="18"/>
                <w:lang w:val="fr-FR"/>
              </w:rPr>
              <w:t>devra prévaloir</w:t>
            </w:r>
            <w:r w:rsidRPr="7E553342">
              <w:rPr>
                <w:rFonts w:ascii="Open Sans" w:hAnsi="Open Sans" w:cs="Open Sans"/>
                <w:sz w:val="18"/>
                <w:szCs w:val="18"/>
                <w:lang w:val="fr-FR"/>
              </w:rPr>
              <w:t xml:space="preserve"> dans certain</w:t>
            </w:r>
            <w:r w:rsidR="00D50875" w:rsidRPr="7E553342">
              <w:rPr>
                <w:rFonts w:ascii="Open Sans" w:hAnsi="Open Sans" w:cs="Open Sans"/>
                <w:sz w:val="18"/>
                <w:szCs w:val="18"/>
                <w:lang w:val="fr-FR"/>
              </w:rPr>
              <w:t>e</w:t>
            </w:r>
            <w:r w:rsidRPr="7E553342">
              <w:rPr>
                <w:rFonts w:ascii="Open Sans" w:hAnsi="Open Sans" w:cs="Open Sans"/>
                <w:sz w:val="18"/>
                <w:szCs w:val="18"/>
                <w:lang w:val="fr-FR"/>
              </w:rPr>
              <w:t xml:space="preserve">s </w:t>
            </w:r>
            <w:r w:rsidR="00D50875" w:rsidRPr="7E553342">
              <w:rPr>
                <w:rFonts w:ascii="Open Sans" w:hAnsi="Open Sans" w:cs="Open Sans"/>
                <w:sz w:val="18"/>
                <w:szCs w:val="18"/>
                <w:lang w:val="fr-FR"/>
              </w:rPr>
              <w:t>situations</w:t>
            </w:r>
            <w:r w:rsidR="007D2271" w:rsidRPr="7E553342">
              <w:rPr>
                <w:rFonts w:ascii="Open Sans" w:hAnsi="Open Sans" w:cs="Open Sans"/>
                <w:sz w:val="18"/>
                <w:szCs w:val="18"/>
                <w:lang w:val="fr-FR"/>
              </w:rPr>
              <w:t>.</w:t>
            </w:r>
          </w:p>
        </w:tc>
      </w:tr>
      <w:tr w:rsidR="007D2271" w:rsidRPr="00950511" w14:paraId="21E3D2B1" w14:textId="77777777" w:rsidTr="00315B1B">
        <w:trPr>
          <w:jc w:val="center"/>
        </w:trPr>
        <w:tc>
          <w:tcPr>
            <w:tcW w:w="952" w:type="pct"/>
            <w:shd w:val="clear" w:color="auto" w:fill="A6A6A6" w:themeFill="background1" w:themeFillShade="A6"/>
          </w:tcPr>
          <w:p w14:paraId="6F09F9DF" w14:textId="4C690F52" w:rsidR="007D2271" w:rsidRPr="00950511" w:rsidRDefault="000720FF"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lang w:val="fr-FR"/>
              </w:rPr>
            </w:pPr>
            <w:r w:rsidRPr="00950511">
              <w:rPr>
                <w:rFonts w:ascii="Montserrat SemiBold" w:hAnsi="Montserrat SemiBold"/>
                <w:color w:val="FFFFFF" w:themeColor="background1"/>
                <w:sz w:val="18"/>
                <w:szCs w:val="20"/>
                <w:lang w:val="fr-FR"/>
              </w:rPr>
              <w:t>Le montant du transfert monétaire n</w:t>
            </w:r>
            <w:r w:rsidR="00D57539" w:rsidRPr="00950511">
              <w:rPr>
                <w:rFonts w:ascii="Montserrat SemiBold" w:hAnsi="Montserrat SemiBold"/>
                <w:color w:val="FFFFFF" w:themeColor="background1"/>
                <w:sz w:val="18"/>
                <w:szCs w:val="20"/>
                <w:lang w:val="fr-FR"/>
              </w:rPr>
              <w:t>’</w:t>
            </w:r>
            <w:r w:rsidRPr="00950511">
              <w:rPr>
                <w:rFonts w:ascii="Montserrat SemiBold" w:hAnsi="Montserrat SemiBold"/>
                <w:color w:val="FFFFFF" w:themeColor="background1"/>
                <w:sz w:val="18"/>
                <w:szCs w:val="20"/>
                <w:lang w:val="fr-FR"/>
              </w:rPr>
              <w:t>est pas suffisant pour couvrir les dépenses de fonctionnement de l</w:t>
            </w:r>
            <w:r w:rsidR="00D57539" w:rsidRPr="00950511">
              <w:rPr>
                <w:rFonts w:ascii="Montserrat SemiBold" w:hAnsi="Montserrat SemiBold"/>
                <w:color w:val="FFFFFF" w:themeColor="background1"/>
                <w:sz w:val="18"/>
                <w:szCs w:val="20"/>
                <w:lang w:val="fr-FR"/>
              </w:rPr>
              <w:t>’</w:t>
            </w:r>
            <w:r w:rsidRPr="00950511">
              <w:rPr>
                <w:rFonts w:ascii="Montserrat SemiBold" w:hAnsi="Montserrat SemiBold"/>
                <w:color w:val="FFFFFF" w:themeColor="background1"/>
                <w:sz w:val="18"/>
                <w:szCs w:val="20"/>
                <w:lang w:val="fr-FR"/>
              </w:rPr>
              <w:t>entreprise</w:t>
            </w:r>
            <w:r w:rsidR="00027671" w:rsidRPr="00950511">
              <w:rPr>
                <w:rFonts w:ascii="Montserrat SemiBold" w:hAnsi="Montserrat SemiBold"/>
                <w:color w:val="FFFFFF" w:themeColor="background1"/>
                <w:sz w:val="18"/>
                <w:szCs w:val="20"/>
                <w:lang w:val="fr-FR"/>
              </w:rPr>
              <w:t>.</w:t>
            </w:r>
          </w:p>
        </w:tc>
        <w:tc>
          <w:tcPr>
            <w:tcW w:w="409" w:type="pct"/>
            <w:vAlign w:val="center"/>
          </w:tcPr>
          <w:p w14:paraId="6CC3C52A" w14:textId="77777777" w:rsidR="007D2271" w:rsidRPr="00950511" w:rsidRDefault="007D2271" w:rsidP="00D048BD">
            <w:pPr>
              <w:jc w:val="center"/>
              <w:rPr>
                <w:rFonts w:ascii="Open Sans" w:hAnsi="Open Sans" w:cs="Open Sans"/>
                <w:b/>
                <w:bCs/>
                <w:sz w:val="20"/>
                <w:szCs w:val="20"/>
                <w:lang w:val="fr-FR"/>
              </w:rPr>
            </w:pPr>
          </w:p>
        </w:tc>
        <w:tc>
          <w:tcPr>
            <w:tcW w:w="435" w:type="pct"/>
            <w:vAlign w:val="center"/>
          </w:tcPr>
          <w:p w14:paraId="2D6FBE7E" w14:textId="77777777" w:rsidR="007D2271" w:rsidRPr="00950511" w:rsidRDefault="007D2271" w:rsidP="007D2271">
            <w:pPr>
              <w:spacing w:after="0"/>
              <w:rPr>
                <w:rFonts w:ascii="Open Sans" w:hAnsi="Open Sans" w:cs="Open Sans"/>
                <w:sz w:val="20"/>
                <w:szCs w:val="20"/>
                <w:lang w:val="fr-FR"/>
              </w:rPr>
            </w:pPr>
          </w:p>
        </w:tc>
        <w:tc>
          <w:tcPr>
            <w:tcW w:w="3204" w:type="pct"/>
          </w:tcPr>
          <w:p w14:paraId="32EBA058" w14:textId="1BDE8BC5" w:rsidR="007D2271" w:rsidRPr="00950511" w:rsidRDefault="000720FF"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 xml:space="preserve">La budgétisation du soutien et </w:t>
            </w:r>
            <w:r w:rsidR="00CA0DB5" w:rsidRPr="00950511">
              <w:rPr>
                <w:rFonts w:ascii="Open Sans" w:hAnsi="Open Sans" w:cs="Open Sans"/>
                <w:sz w:val="18"/>
                <w:szCs w:val="18"/>
                <w:lang w:val="fr-FR"/>
              </w:rPr>
              <w:t>la conclusion</w:t>
            </w:r>
            <w:r w:rsidRPr="00950511">
              <w:rPr>
                <w:rFonts w:ascii="Open Sans" w:hAnsi="Open Sans" w:cs="Open Sans"/>
                <w:sz w:val="18"/>
                <w:szCs w:val="18"/>
                <w:lang w:val="fr-FR"/>
              </w:rPr>
              <w:t xml:space="preserve"> de l</w:t>
            </w:r>
            <w:r w:rsidR="00D57539" w:rsidRPr="00950511">
              <w:rPr>
                <w:rFonts w:ascii="Open Sans" w:hAnsi="Open Sans" w:cs="Open Sans"/>
                <w:sz w:val="18"/>
                <w:szCs w:val="18"/>
                <w:lang w:val="fr-FR"/>
              </w:rPr>
              <w:t>’</w:t>
            </w:r>
            <w:r w:rsidRPr="00950511">
              <w:rPr>
                <w:rFonts w:ascii="Open Sans" w:hAnsi="Open Sans" w:cs="Open Sans"/>
                <w:sz w:val="18"/>
                <w:szCs w:val="18"/>
                <w:lang w:val="fr-FR"/>
              </w:rPr>
              <w:t>accord doivent être examinés et décidés par les parties prenantes</w:t>
            </w:r>
            <w:r w:rsidR="007D2271" w:rsidRPr="00950511">
              <w:rPr>
                <w:rFonts w:ascii="Open Sans" w:hAnsi="Open Sans" w:cs="Open Sans"/>
                <w:sz w:val="18"/>
                <w:szCs w:val="18"/>
                <w:lang w:val="fr-FR"/>
              </w:rPr>
              <w:t>.</w:t>
            </w:r>
          </w:p>
          <w:p w14:paraId="14732F21" w14:textId="65670FDC" w:rsidR="007D2271" w:rsidRPr="00950511" w:rsidRDefault="000720FF"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Les profils des bénéficiaires doivent être étudiés en vue de vérifier </w:t>
            </w:r>
            <w:r w:rsidR="00CA0DB5" w:rsidRPr="7E553342">
              <w:rPr>
                <w:rFonts w:ascii="Open Sans" w:hAnsi="Open Sans" w:cs="Open Sans"/>
                <w:sz w:val="18"/>
                <w:szCs w:val="18"/>
                <w:lang w:val="fr-FR"/>
              </w:rPr>
              <w:t>qu’ils disposent de</w:t>
            </w:r>
            <w:r w:rsidRPr="7E553342">
              <w:rPr>
                <w:rFonts w:ascii="Open Sans" w:hAnsi="Open Sans" w:cs="Open Sans"/>
                <w:sz w:val="18"/>
                <w:szCs w:val="18"/>
                <w:lang w:val="fr-FR"/>
              </w:rPr>
              <w:t xml:space="preserve"> leurs propres fonds pour contribuer au ME</w:t>
            </w:r>
            <w:r w:rsidR="007D2271" w:rsidRPr="7E553342">
              <w:rPr>
                <w:rFonts w:ascii="Open Sans" w:hAnsi="Open Sans" w:cs="Open Sans"/>
                <w:sz w:val="18"/>
                <w:szCs w:val="18"/>
                <w:lang w:val="fr-FR"/>
              </w:rPr>
              <w:t>.</w:t>
            </w:r>
          </w:p>
        </w:tc>
      </w:tr>
      <w:tr w:rsidR="007D2271" w:rsidRPr="00950511" w14:paraId="712271ED" w14:textId="77777777" w:rsidTr="00315B1B">
        <w:trPr>
          <w:jc w:val="center"/>
        </w:trPr>
        <w:tc>
          <w:tcPr>
            <w:tcW w:w="952" w:type="pct"/>
            <w:shd w:val="clear" w:color="auto" w:fill="A6A6A6" w:themeFill="background1" w:themeFillShade="A6"/>
          </w:tcPr>
          <w:p w14:paraId="1C7C70BA" w14:textId="06F6CEDF" w:rsidR="007D2271" w:rsidRPr="00950511" w:rsidRDefault="00B774F1"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18"/>
                <w:lang w:val="fr-FR"/>
              </w:rPr>
            </w:pPr>
            <w:r w:rsidRPr="7E553342">
              <w:rPr>
                <w:rFonts w:ascii="Montserrat SemiBold" w:hAnsi="Montserrat SemiBold"/>
                <w:color w:val="FFFFFF" w:themeColor="background1"/>
                <w:sz w:val="18"/>
                <w:szCs w:val="18"/>
                <w:lang w:val="fr-FR"/>
              </w:rPr>
              <w:t>En cas de transferts monétaires en espèce</w:t>
            </w:r>
            <w:r w:rsidR="003C0FCB" w:rsidRPr="7E553342">
              <w:rPr>
                <w:rFonts w:ascii="Montserrat SemiBold" w:hAnsi="Montserrat SemiBold"/>
                <w:color w:val="FFFFFF" w:themeColor="background1"/>
                <w:sz w:val="18"/>
                <w:szCs w:val="18"/>
                <w:lang w:val="fr-FR"/>
              </w:rPr>
              <w:t> </w:t>
            </w:r>
            <w:r w:rsidRPr="7E553342">
              <w:rPr>
                <w:rFonts w:ascii="Montserrat SemiBold" w:hAnsi="Montserrat SemiBold"/>
                <w:color w:val="FFFFFF" w:themeColor="background1"/>
                <w:sz w:val="18"/>
                <w:szCs w:val="18"/>
                <w:lang w:val="fr-FR"/>
              </w:rPr>
              <w:t>: l</w:t>
            </w:r>
            <w:r w:rsidR="00D57539" w:rsidRPr="7E553342">
              <w:rPr>
                <w:rFonts w:ascii="Montserrat SemiBold" w:hAnsi="Montserrat SemiBold"/>
                <w:color w:val="FFFFFF" w:themeColor="background1"/>
                <w:sz w:val="18"/>
                <w:szCs w:val="18"/>
                <w:lang w:val="fr-FR"/>
              </w:rPr>
              <w:t>’</w:t>
            </w:r>
            <w:r w:rsidRPr="7E553342">
              <w:rPr>
                <w:rFonts w:ascii="Montserrat SemiBold" w:hAnsi="Montserrat SemiBold"/>
                <w:color w:val="FFFFFF" w:themeColor="background1"/>
                <w:sz w:val="18"/>
                <w:szCs w:val="18"/>
                <w:lang w:val="fr-FR"/>
              </w:rPr>
              <w:t>argent a été consacré à d</w:t>
            </w:r>
            <w:r w:rsidR="00D57539" w:rsidRPr="7E553342">
              <w:rPr>
                <w:rFonts w:ascii="Montserrat SemiBold" w:hAnsi="Montserrat SemiBold"/>
                <w:color w:val="FFFFFF" w:themeColor="background1"/>
                <w:sz w:val="18"/>
                <w:szCs w:val="18"/>
                <w:lang w:val="fr-FR"/>
              </w:rPr>
              <w:t>’</w:t>
            </w:r>
            <w:r w:rsidRPr="7E553342">
              <w:rPr>
                <w:rFonts w:ascii="Montserrat SemiBold" w:hAnsi="Montserrat SemiBold"/>
                <w:color w:val="FFFFFF" w:themeColor="background1"/>
                <w:sz w:val="18"/>
                <w:szCs w:val="18"/>
                <w:lang w:val="fr-FR"/>
              </w:rPr>
              <w:t xml:space="preserve">autres </w:t>
            </w:r>
            <w:r w:rsidR="006258CB" w:rsidRPr="7E553342">
              <w:rPr>
                <w:rFonts w:ascii="Montserrat SemiBold" w:hAnsi="Montserrat SemiBold"/>
                <w:color w:val="FFFFFF" w:themeColor="background1"/>
                <w:sz w:val="18"/>
                <w:szCs w:val="18"/>
                <w:lang w:val="fr-FR"/>
              </w:rPr>
              <w:t xml:space="preserve">dépenses </w:t>
            </w:r>
            <w:r w:rsidRPr="7E553342">
              <w:rPr>
                <w:rFonts w:ascii="Montserrat SemiBold" w:hAnsi="Montserrat SemiBold"/>
                <w:color w:val="FFFFFF" w:themeColor="background1"/>
                <w:sz w:val="18"/>
                <w:szCs w:val="18"/>
                <w:lang w:val="fr-FR"/>
              </w:rPr>
              <w:t xml:space="preserve">(non incluses dans le budget du </w:t>
            </w:r>
            <w:r w:rsidR="003C0FCB" w:rsidRPr="7E553342">
              <w:rPr>
                <w:rFonts w:ascii="Montserrat SemiBold" w:hAnsi="Montserrat SemiBold"/>
                <w:color w:val="FFFFFF" w:themeColor="background1"/>
                <w:sz w:val="18"/>
                <w:szCs w:val="18"/>
                <w:lang w:val="fr-FR"/>
              </w:rPr>
              <w:t>business plan</w:t>
            </w:r>
            <w:r w:rsidRPr="7E553342">
              <w:rPr>
                <w:rFonts w:ascii="Montserrat SemiBold" w:hAnsi="Montserrat SemiBold"/>
                <w:color w:val="FFFFFF" w:themeColor="background1"/>
                <w:sz w:val="18"/>
                <w:szCs w:val="18"/>
                <w:lang w:val="fr-FR"/>
              </w:rPr>
              <w:t>).</w:t>
            </w:r>
          </w:p>
          <w:p w14:paraId="611C63C6" w14:textId="77777777" w:rsidR="00B774F1" w:rsidRPr="00950511" w:rsidRDefault="00B774F1"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lang w:val="fr-FR"/>
              </w:rPr>
            </w:pPr>
          </w:p>
          <w:p w14:paraId="48DE030A" w14:textId="27EE5401" w:rsidR="007D2271" w:rsidRPr="00950511" w:rsidRDefault="00B774F1"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18"/>
                <w:lang w:val="fr-FR"/>
              </w:rPr>
            </w:pPr>
            <w:r w:rsidRPr="7E553342">
              <w:rPr>
                <w:rFonts w:ascii="Montserrat SemiBold" w:hAnsi="Montserrat SemiBold"/>
                <w:color w:val="FFFFFF" w:themeColor="background1"/>
                <w:sz w:val="18"/>
                <w:szCs w:val="18"/>
                <w:lang w:val="fr-FR"/>
              </w:rPr>
              <w:t>En cas d</w:t>
            </w:r>
            <w:r w:rsidR="00D57539" w:rsidRPr="7E553342">
              <w:rPr>
                <w:rFonts w:ascii="Montserrat SemiBold" w:hAnsi="Montserrat SemiBold"/>
                <w:color w:val="FFFFFF" w:themeColor="background1"/>
                <w:sz w:val="18"/>
                <w:szCs w:val="18"/>
                <w:lang w:val="fr-FR"/>
              </w:rPr>
              <w:t>’</w:t>
            </w:r>
            <w:r w:rsidRPr="7E553342">
              <w:rPr>
                <w:rFonts w:ascii="Montserrat SemiBold" w:hAnsi="Montserrat SemiBold"/>
                <w:color w:val="FFFFFF" w:themeColor="background1"/>
                <w:sz w:val="18"/>
                <w:szCs w:val="18"/>
                <w:lang w:val="fr-FR"/>
              </w:rPr>
              <w:t>aide en nature</w:t>
            </w:r>
            <w:r w:rsidR="003C0FCB" w:rsidRPr="7E553342">
              <w:rPr>
                <w:rFonts w:ascii="Montserrat SemiBold" w:hAnsi="Montserrat SemiBold"/>
                <w:color w:val="FFFFFF" w:themeColor="background1"/>
                <w:sz w:val="18"/>
                <w:szCs w:val="18"/>
                <w:lang w:val="fr-FR"/>
              </w:rPr>
              <w:t> </w:t>
            </w:r>
            <w:r w:rsidRPr="7E553342">
              <w:rPr>
                <w:rFonts w:ascii="Montserrat SemiBold" w:hAnsi="Montserrat SemiBold"/>
                <w:color w:val="FFFFFF" w:themeColor="background1"/>
                <w:sz w:val="18"/>
                <w:szCs w:val="18"/>
                <w:lang w:val="fr-FR"/>
              </w:rPr>
              <w:t>: les articles livrés sont vendus et l</w:t>
            </w:r>
            <w:r w:rsidR="00D57539" w:rsidRPr="7E553342">
              <w:rPr>
                <w:rFonts w:ascii="Montserrat SemiBold" w:hAnsi="Montserrat SemiBold"/>
                <w:color w:val="FFFFFF" w:themeColor="background1"/>
                <w:sz w:val="18"/>
                <w:szCs w:val="18"/>
                <w:lang w:val="fr-FR"/>
              </w:rPr>
              <w:t>’</w:t>
            </w:r>
            <w:r w:rsidRPr="7E553342">
              <w:rPr>
                <w:rFonts w:ascii="Montserrat SemiBold" w:hAnsi="Montserrat SemiBold"/>
                <w:color w:val="FFFFFF" w:themeColor="background1"/>
                <w:sz w:val="18"/>
                <w:szCs w:val="18"/>
                <w:lang w:val="fr-FR"/>
              </w:rPr>
              <w:t xml:space="preserve">argent est </w:t>
            </w:r>
            <w:r w:rsidR="003C0FCB" w:rsidRPr="7E553342">
              <w:rPr>
                <w:rFonts w:ascii="Montserrat SemiBold" w:hAnsi="Montserrat SemiBold"/>
                <w:color w:val="FFFFFF" w:themeColor="background1"/>
                <w:sz w:val="18"/>
                <w:szCs w:val="18"/>
                <w:lang w:val="fr-FR"/>
              </w:rPr>
              <w:t xml:space="preserve">consacré à </w:t>
            </w:r>
            <w:r w:rsidRPr="7E553342">
              <w:rPr>
                <w:rFonts w:ascii="Montserrat SemiBold" w:hAnsi="Montserrat SemiBold"/>
                <w:color w:val="FFFFFF" w:themeColor="background1"/>
                <w:sz w:val="18"/>
                <w:szCs w:val="18"/>
                <w:lang w:val="fr-FR"/>
              </w:rPr>
              <w:t>d</w:t>
            </w:r>
            <w:r w:rsidR="00D57539" w:rsidRPr="7E553342">
              <w:rPr>
                <w:rFonts w:ascii="Montserrat SemiBold" w:hAnsi="Montserrat SemiBold"/>
                <w:color w:val="FFFFFF" w:themeColor="background1"/>
                <w:sz w:val="18"/>
                <w:szCs w:val="18"/>
                <w:lang w:val="fr-FR"/>
              </w:rPr>
              <w:t>’</w:t>
            </w:r>
            <w:r w:rsidRPr="7E553342">
              <w:rPr>
                <w:rFonts w:ascii="Montserrat SemiBold" w:hAnsi="Montserrat SemiBold"/>
                <w:color w:val="FFFFFF" w:themeColor="background1"/>
                <w:sz w:val="18"/>
                <w:szCs w:val="18"/>
                <w:lang w:val="fr-FR"/>
              </w:rPr>
              <w:t xml:space="preserve">autres </w:t>
            </w:r>
            <w:r w:rsidR="001B521A" w:rsidRPr="7E553342">
              <w:rPr>
                <w:rFonts w:ascii="Montserrat SemiBold" w:hAnsi="Montserrat SemiBold"/>
                <w:color w:val="FFFFFF" w:themeColor="background1"/>
                <w:sz w:val="18"/>
                <w:szCs w:val="18"/>
                <w:lang w:val="fr-FR"/>
              </w:rPr>
              <w:t>dépenses</w:t>
            </w:r>
            <w:r w:rsidRPr="7E553342">
              <w:rPr>
                <w:rFonts w:ascii="Montserrat SemiBold" w:hAnsi="Montserrat SemiBold"/>
                <w:color w:val="FFFFFF" w:themeColor="background1"/>
                <w:sz w:val="18"/>
                <w:szCs w:val="18"/>
                <w:lang w:val="fr-FR"/>
              </w:rPr>
              <w:t>.</w:t>
            </w:r>
          </w:p>
        </w:tc>
        <w:tc>
          <w:tcPr>
            <w:tcW w:w="409" w:type="pct"/>
            <w:vAlign w:val="center"/>
          </w:tcPr>
          <w:p w14:paraId="082774E5" w14:textId="77777777" w:rsidR="007D2271" w:rsidRPr="00950511" w:rsidRDefault="007D2271" w:rsidP="00D048BD">
            <w:pPr>
              <w:pStyle w:val="BulletTableau"/>
              <w:framePr w:wrap="around"/>
              <w:numPr>
                <w:ilvl w:val="0"/>
                <w:numId w:val="0"/>
              </w:numPr>
              <w:spacing w:before="144" w:after="48"/>
              <w:rPr>
                <w:lang w:val="fr-FR"/>
              </w:rPr>
            </w:pPr>
          </w:p>
        </w:tc>
        <w:tc>
          <w:tcPr>
            <w:tcW w:w="435" w:type="pct"/>
            <w:vAlign w:val="center"/>
          </w:tcPr>
          <w:p w14:paraId="6CBC3BFF" w14:textId="77777777" w:rsidR="007D2271" w:rsidRPr="00950511" w:rsidRDefault="007D2271" w:rsidP="00D048BD">
            <w:pPr>
              <w:pStyle w:val="BulletTableau"/>
              <w:framePr w:wrap="around"/>
              <w:numPr>
                <w:ilvl w:val="0"/>
                <w:numId w:val="0"/>
              </w:numPr>
              <w:spacing w:before="144" w:after="48"/>
              <w:rPr>
                <w:lang w:val="fr-FR"/>
              </w:rPr>
            </w:pPr>
          </w:p>
        </w:tc>
        <w:tc>
          <w:tcPr>
            <w:tcW w:w="3204" w:type="pct"/>
          </w:tcPr>
          <w:p w14:paraId="2DFFACF8" w14:textId="2836EF49" w:rsidR="007E3980" w:rsidRPr="00950511" w:rsidRDefault="00B774F1"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Au bout de X semaines, une visite sera effectuée pour </w:t>
            </w:r>
            <w:r w:rsidR="005A102E" w:rsidRPr="7E553342">
              <w:rPr>
                <w:rFonts w:ascii="Open Sans" w:hAnsi="Open Sans" w:cs="Open Sans"/>
                <w:sz w:val="18"/>
                <w:szCs w:val="18"/>
                <w:lang w:val="fr-FR"/>
              </w:rPr>
              <w:t>examiner la situation, dans le cas où</w:t>
            </w:r>
            <w:r w:rsidRPr="7E553342">
              <w:rPr>
                <w:rFonts w:ascii="Open Sans" w:hAnsi="Open Sans" w:cs="Open Sans"/>
                <w:sz w:val="18"/>
                <w:szCs w:val="18"/>
                <w:lang w:val="fr-FR"/>
              </w:rPr>
              <w:t xml:space="preserve"> le bénéficiaire ne dépense pas l</w:t>
            </w:r>
            <w:r w:rsidR="00D57539" w:rsidRPr="7E553342">
              <w:rPr>
                <w:rFonts w:ascii="Open Sans" w:hAnsi="Open Sans" w:cs="Open Sans"/>
                <w:sz w:val="18"/>
                <w:szCs w:val="18"/>
                <w:lang w:val="fr-FR"/>
              </w:rPr>
              <w:t>’</w:t>
            </w:r>
            <w:r w:rsidRPr="7E553342">
              <w:rPr>
                <w:rFonts w:ascii="Open Sans" w:hAnsi="Open Sans" w:cs="Open Sans"/>
                <w:sz w:val="18"/>
                <w:szCs w:val="18"/>
                <w:lang w:val="fr-FR"/>
              </w:rPr>
              <w:t>argent conformément au budget</w:t>
            </w:r>
            <w:r w:rsidR="007D2271" w:rsidRPr="7E553342">
              <w:rPr>
                <w:rFonts w:ascii="Open Sans" w:hAnsi="Open Sans" w:cs="Open Sans"/>
                <w:sz w:val="18"/>
                <w:szCs w:val="18"/>
                <w:lang w:val="fr-FR"/>
              </w:rPr>
              <w:t xml:space="preserve">. </w:t>
            </w:r>
          </w:p>
          <w:p w14:paraId="0C56986E" w14:textId="57EDC6CA" w:rsidR="007D2271" w:rsidRPr="00950511" w:rsidRDefault="00B774F1"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Les dépenses injustifiées peuvent entraîner la résiliation de la convention et/ou le remboursement de la subvention</w:t>
            </w:r>
            <w:r w:rsidR="007D2271" w:rsidRPr="00950511">
              <w:rPr>
                <w:rFonts w:ascii="Open Sans" w:hAnsi="Open Sans" w:cs="Open Sans"/>
                <w:sz w:val="18"/>
                <w:szCs w:val="18"/>
                <w:lang w:val="fr-FR"/>
              </w:rPr>
              <w:t>.</w:t>
            </w:r>
          </w:p>
        </w:tc>
      </w:tr>
      <w:tr w:rsidR="007D2271" w:rsidRPr="00950511" w14:paraId="050D50A5" w14:textId="77777777" w:rsidTr="00315B1B">
        <w:trPr>
          <w:trHeight w:val="70"/>
          <w:jc w:val="center"/>
        </w:trPr>
        <w:tc>
          <w:tcPr>
            <w:tcW w:w="952" w:type="pct"/>
            <w:shd w:val="clear" w:color="auto" w:fill="A6A6A6" w:themeFill="background1" w:themeFillShade="A6"/>
          </w:tcPr>
          <w:p w14:paraId="3B475CA8" w14:textId="0373BDA6" w:rsidR="007D2271" w:rsidRPr="00950511" w:rsidRDefault="00B774F1" w:rsidP="007D2271">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lastRenderedPageBreak/>
              <w:t xml:space="preserve">Les </w:t>
            </w:r>
            <w:r w:rsidR="00C52242" w:rsidRPr="7E553342">
              <w:rPr>
                <w:rFonts w:ascii="Montserrat SemiBold" w:hAnsi="Montserrat SemiBold" w:cs="Open Sans"/>
                <w:color w:val="FFFFFF" w:themeColor="background1"/>
                <w:sz w:val="18"/>
                <w:szCs w:val="18"/>
                <w:lang w:val="fr-FR"/>
              </w:rPr>
              <w:t xml:space="preserve">ME </w:t>
            </w:r>
            <w:r w:rsidRPr="7E553342">
              <w:rPr>
                <w:rFonts w:ascii="Montserrat SemiBold" w:hAnsi="Montserrat SemiBold" w:cs="Open Sans"/>
                <w:color w:val="FFFFFF" w:themeColor="background1"/>
                <w:sz w:val="18"/>
                <w:szCs w:val="18"/>
                <w:lang w:val="fr-FR"/>
              </w:rPr>
              <w:t xml:space="preserve">ne peuvent pas acquérir les articles prévus au budget </w:t>
            </w:r>
            <w:r w:rsidR="0038477B" w:rsidRPr="7E553342">
              <w:rPr>
                <w:rFonts w:ascii="Montserrat SemiBold" w:hAnsi="Montserrat SemiBold" w:cs="Open Sans"/>
                <w:color w:val="FFFFFF" w:themeColor="background1"/>
                <w:sz w:val="18"/>
                <w:szCs w:val="18"/>
                <w:lang w:val="fr-FR"/>
              </w:rPr>
              <w:t>pour des questions de</w:t>
            </w:r>
            <w:r w:rsidRPr="7E553342">
              <w:rPr>
                <w:rFonts w:ascii="Montserrat SemiBold" w:hAnsi="Montserrat SemiBold" w:cs="Open Sans"/>
                <w:color w:val="FFFFFF" w:themeColor="background1"/>
                <w:sz w:val="18"/>
                <w:szCs w:val="18"/>
                <w:lang w:val="fr-FR"/>
              </w:rPr>
              <w:t xml:space="preserve"> disponibilité dans le pays au cours des mois suivants</w:t>
            </w:r>
            <w:r w:rsidR="00027671" w:rsidRPr="7E553342">
              <w:rPr>
                <w:rFonts w:ascii="Montserrat SemiBold" w:hAnsi="Montserrat SemiBold" w:cs="Open Sans"/>
                <w:color w:val="FFFFFF" w:themeColor="background1"/>
                <w:sz w:val="18"/>
                <w:szCs w:val="18"/>
                <w:lang w:val="fr-FR"/>
              </w:rPr>
              <w:t>.</w:t>
            </w:r>
          </w:p>
        </w:tc>
        <w:tc>
          <w:tcPr>
            <w:tcW w:w="409" w:type="pct"/>
            <w:vAlign w:val="center"/>
          </w:tcPr>
          <w:p w14:paraId="3BBA5CEB" w14:textId="77777777" w:rsidR="007D2271" w:rsidRPr="00950511" w:rsidRDefault="007D2271" w:rsidP="00D048BD">
            <w:pPr>
              <w:pStyle w:val="BulletTableau"/>
              <w:framePr w:wrap="around"/>
              <w:numPr>
                <w:ilvl w:val="0"/>
                <w:numId w:val="0"/>
              </w:numPr>
              <w:spacing w:before="144" w:after="48"/>
              <w:rPr>
                <w:lang w:val="fr-FR"/>
              </w:rPr>
            </w:pPr>
          </w:p>
        </w:tc>
        <w:tc>
          <w:tcPr>
            <w:tcW w:w="435" w:type="pct"/>
            <w:vAlign w:val="center"/>
          </w:tcPr>
          <w:p w14:paraId="778B6C93" w14:textId="77777777" w:rsidR="007D2271" w:rsidRPr="00950511" w:rsidRDefault="007D2271" w:rsidP="00D048BD">
            <w:pPr>
              <w:pStyle w:val="BulletTableau"/>
              <w:framePr w:wrap="around"/>
              <w:numPr>
                <w:ilvl w:val="0"/>
                <w:numId w:val="0"/>
              </w:numPr>
              <w:spacing w:before="144" w:after="48"/>
              <w:rPr>
                <w:lang w:val="fr-FR"/>
              </w:rPr>
            </w:pPr>
          </w:p>
        </w:tc>
        <w:tc>
          <w:tcPr>
            <w:tcW w:w="3204" w:type="pct"/>
          </w:tcPr>
          <w:p w14:paraId="0604E68D" w14:textId="3D10E913" w:rsidR="007D2271" w:rsidRPr="00950511" w:rsidRDefault="00B774F1" w:rsidP="007D2271">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La recherche de fournisseurs et la confirmation des prix doivent être effectuées avant la signature de l</w:t>
            </w:r>
            <w:r w:rsidR="00D57539" w:rsidRPr="00950511">
              <w:rPr>
                <w:rFonts w:ascii="Open Sans" w:hAnsi="Open Sans" w:cs="Open Sans"/>
                <w:sz w:val="18"/>
                <w:szCs w:val="18"/>
                <w:lang w:val="fr-FR"/>
              </w:rPr>
              <w:t>’</w:t>
            </w:r>
            <w:r w:rsidRPr="00950511">
              <w:rPr>
                <w:rFonts w:ascii="Open Sans" w:hAnsi="Open Sans" w:cs="Open Sans"/>
                <w:sz w:val="18"/>
                <w:szCs w:val="18"/>
                <w:lang w:val="fr-FR"/>
              </w:rPr>
              <w:t>accord et la finalisation de la budgétisation</w:t>
            </w:r>
            <w:r w:rsidR="007D2271" w:rsidRPr="00950511">
              <w:rPr>
                <w:rFonts w:ascii="Open Sans" w:hAnsi="Open Sans" w:cs="Open Sans"/>
                <w:sz w:val="18"/>
                <w:szCs w:val="18"/>
                <w:lang w:val="fr-FR"/>
              </w:rPr>
              <w:t xml:space="preserve">. </w:t>
            </w:r>
          </w:p>
        </w:tc>
      </w:tr>
      <w:tr w:rsidR="007D2271" w:rsidRPr="00950511" w14:paraId="65E8D5CA" w14:textId="77777777" w:rsidTr="00AF6134">
        <w:trPr>
          <w:jc w:val="center"/>
        </w:trPr>
        <w:tc>
          <w:tcPr>
            <w:tcW w:w="952" w:type="pct"/>
            <w:shd w:val="clear" w:color="auto" w:fill="A6A6A6" w:themeFill="background1" w:themeFillShade="A6"/>
            <w:vAlign w:val="center"/>
          </w:tcPr>
          <w:p w14:paraId="6ADB7DDD" w14:textId="440532FC" w:rsidR="007D2271" w:rsidRPr="00950511" w:rsidRDefault="00B774F1" w:rsidP="00D048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t xml:space="preserve">Fermeture de </w:t>
            </w:r>
            <w:r w:rsidR="00C52242" w:rsidRPr="7E553342">
              <w:rPr>
                <w:rFonts w:ascii="Montserrat SemiBold" w:hAnsi="Montserrat SemiBold" w:cs="Open Sans"/>
                <w:color w:val="FFFFFF" w:themeColor="background1"/>
                <w:sz w:val="18"/>
                <w:szCs w:val="18"/>
                <w:lang w:val="fr-FR"/>
              </w:rPr>
              <w:t xml:space="preserve">la ME </w:t>
            </w:r>
            <w:r w:rsidRPr="7E553342">
              <w:rPr>
                <w:rFonts w:ascii="Montserrat SemiBold" w:hAnsi="Montserrat SemiBold" w:cs="Open Sans"/>
                <w:color w:val="FFFFFF" w:themeColor="background1"/>
                <w:sz w:val="18"/>
                <w:szCs w:val="18"/>
                <w:lang w:val="fr-FR"/>
              </w:rPr>
              <w:t>en raison des pertes/de la faillite</w:t>
            </w:r>
            <w:r w:rsidR="00027671" w:rsidRPr="7E553342">
              <w:rPr>
                <w:rFonts w:ascii="Montserrat SemiBold" w:hAnsi="Montserrat SemiBold" w:cs="Open Sans"/>
                <w:color w:val="FFFFFF" w:themeColor="background1"/>
                <w:sz w:val="18"/>
                <w:szCs w:val="18"/>
                <w:lang w:val="fr-FR"/>
              </w:rPr>
              <w:t>.</w:t>
            </w:r>
          </w:p>
        </w:tc>
        <w:tc>
          <w:tcPr>
            <w:tcW w:w="409" w:type="pct"/>
            <w:vAlign w:val="center"/>
          </w:tcPr>
          <w:p w14:paraId="017882C5" w14:textId="77777777" w:rsidR="007D2271" w:rsidRPr="00950511" w:rsidRDefault="007D2271" w:rsidP="00D048BD">
            <w:pPr>
              <w:pStyle w:val="BulletTableau"/>
              <w:framePr w:wrap="around"/>
              <w:numPr>
                <w:ilvl w:val="0"/>
                <w:numId w:val="0"/>
              </w:numPr>
              <w:spacing w:before="144" w:after="48"/>
              <w:rPr>
                <w:lang w:val="fr-FR"/>
              </w:rPr>
            </w:pPr>
          </w:p>
        </w:tc>
        <w:tc>
          <w:tcPr>
            <w:tcW w:w="435" w:type="pct"/>
            <w:vAlign w:val="center"/>
          </w:tcPr>
          <w:p w14:paraId="073D803C" w14:textId="77777777" w:rsidR="007D2271" w:rsidRPr="00950511" w:rsidRDefault="007D2271" w:rsidP="00D048BD">
            <w:pPr>
              <w:pStyle w:val="BulletTableau"/>
              <w:framePr w:wrap="around"/>
              <w:numPr>
                <w:ilvl w:val="0"/>
                <w:numId w:val="0"/>
              </w:numPr>
              <w:spacing w:before="144" w:after="48"/>
              <w:rPr>
                <w:lang w:val="fr-FR"/>
              </w:rPr>
            </w:pPr>
          </w:p>
        </w:tc>
        <w:tc>
          <w:tcPr>
            <w:tcW w:w="3204" w:type="pct"/>
          </w:tcPr>
          <w:p w14:paraId="5D6D27E8" w14:textId="0C0E76E8" w:rsidR="007D2271" w:rsidRPr="00950511" w:rsidRDefault="00B774F1"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Effectuez dans un premier temps une évaluation initiale détaillée des opportunités de ME et des profils des bénéficiaires (motivations, compétences, expérience) pour comprendre la réalité du bénéficiaire et de l</w:t>
            </w:r>
            <w:r w:rsidR="00D57539" w:rsidRPr="00950511">
              <w:rPr>
                <w:rFonts w:ascii="Open Sans" w:hAnsi="Open Sans" w:cs="Open Sans"/>
                <w:sz w:val="18"/>
                <w:szCs w:val="18"/>
                <w:lang w:val="fr-FR"/>
              </w:rPr>
              <w:t>’</w:t>
            </w:r>
            <w:r w:rsidRPr="00950511">
              <w:rPr>
                <w:rFonts w:ascii="Open Sans" w:hAnsi="Open Sans" w:cs="Open Sans"/>
                <w:sz w:val="18"/>
                <w:szCs w:val="18"/>
                <w:lang w:val="fr-FR"/>
              </w:rPr>
              <w:t>entreprise afin d</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éviter que ce genre de </w:t>
            </w:r>
            <w:r w:rsidR="00FB413D" w:rsidRPr="00950511">
              <w:rPr>
                <w:rFonts w:ascii="Open Sans" w:hAnsi="Open Sans" w:cs="Open Sans"/>
                <w:sz w:val="18"/>
                <w:szCs w:val="18"/>
                <w:lang w:val="fr-FR"/>
              </w:rPr>
              <w:t>situation</w:t>
            </w:r>
            <w:r w:rsidRPr="00950511">
              <w:rPr>
                <w:rFonts w:ascii="Open Sans" w:hAnsi="Open Sans" w:cs="Open Sans"/>
                <w:sz w:val="18"/>
                <w:szCs w:val="18"/>
                <w:lang w:val="fr-FR"/>
              </w:rPr>
              <w:t xml:space="preserve"> ne se produise.</w:t>
            </w:r>
          </w:p>
          <w:p w14:paraId="3FA0D7C5" w14:textId="4134A227" w:rsidR="007D2271" w:rsidRPr="00950511" w:rsidRDefault="00B774F1"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Les bénévoles, le personnel et les autres parties prenantes seront formés de façon à fournir une assistance pour éviter </w:t>
            </w:r>
            <w:r w:rsidR="00FB413D" w:rsidRPr="7E553342">
              <w:rPr>
                <w:rFonts w:ascii="Open Sans" w:hAnsi="Open Sans" w:cs="Open Sans"/>
                <w:sz w:val="18"/>
                <w:szCs w:val="18"/>
                <w:lang w:val="fr-FR"/>
              </w:rPr>
              <w:t>que ce genre de situation ne se produise autant que possible</w:t>
            </w:r>
            <w:r w:rsidR="007D2271" w:rsidRPr="7E553342">
              <w:rPr>
                <w:rFonts w:ascii="Open Sans" w:hAnsi="Open Sans" w:cs="Open Sans"/>
                <w:sz w:val="18"/>
                <w:szCs w:val="18"/>
                <w:lang w:val="fr-FR"/>
              </w:rPr>
              <w:t xml:space="preserve">. </w:t>
            </w:r>
          </w:p>
          <w:p w14:paraId="188272B1" w14:textId="5A0F11D6" w:rsidR="007D2271" w:rsidRPr="00950511" w:rsidRDefault="00467678"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La SN doit clairement faire comprendre ou indiquer au</w:t>
            </w:r>
            <w:r w:rsidR="002909D7" w:rsidRPr="7E553342">
              <w:rPr>
                <w:rFonts w:ascii="Open Sans" w:hAnsi="Open Sans" w:cs="Open Sans"/>
                <w:sz w:val="18"/>
                <w:szCs w:val="18"/>
                <w:lang w:val="fr-FR"/>
              </w:rPr>
              <w:t xml:space="preserve"> la</w:t>
            </w:r>
            <w:r w:rsidRPr="7E553342">
              <w:rPr>
                <w:rFonts w:ascii="Open Sans" w:hAnsi="Open Sans" w:cs="Open Sans"/>
                <w:sz w:val="18"/>
                <w:szCs w:val="18"/>
                <w:lang w:val="fr-FR"/>
              </w:rPr>
              <w:t xml:space="preserve"> bénéficiaire que la Croix-Rouge n</w:t>
            </w:r>
            <w:r w:rsidR="00D57539" w:rsidRPr="7E553342">
              <w:rPr>
                <w:rFonts w:ascii="Open Sans" w:hAnsi="Open Sans" w:cs="Open Sans"/>
                <w:sz w:val="18"/>
                <w:szCs w:val="18"/>
                <w:lang w:val="fr-FR"/>
              </w:rPr>
              <w:t>’</w:t>
            </w:r>
            <w:r w:rsidRPr="7E553342">
              <w:rPr>
                <w:rFonts w:ascii="Open Sans" w:hAnsi="Open Sans" w:cs="Open Sans"/>
                <w:sz w:val="18"/>
                <w:szCs w:val="18"/>
                <w:lang w:val="fr-FR"/>
              </w:rPr>
              <w:t>est pas responsable de la défaillance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un ME. </w:t>
            </w:r>
            <w:r w:rsidR="00740DD4" w:rsidRPr="7E553342">
              <w:rPr>
                <w:rFonts w:ascii="Open Sans" w:hAnsi="Open Sans" w:cs="Open Sans"/>
                <w:sz w:val="18"/>
                <w:szCs w:val="18"/>
                <w:lang w:val="fr-FR"/>
              </w:rPr>
              <w:t xml:space="preserve">Le bénéficiaire doit donc choisir le type de ME </w:t>
            </w:r>
            <w:proofErr w:type="gramStart"/>
            <w:r w:rsidR="00740DD4" w:rsidRPr="7E553342">
              <w:rPr>
                <w:rFonts w:ascii="Open Sans" w:hAnsi="Open Sans" w:cs="Open Sans"/>
                <w:sz w:val="18"/>
                <w:szCs w:val="18"/>
                <w:lang w:val="fr-FR"/>
              </w:rPr>
              <w:t>approprié</w:t>
            </w:r>
            <w:proofErr w:type="gramEnd"/>
            <w:r w:rsidR="00740DD4" w:rsidRPr="7E553342">
              <w:rPr>
                <w:rFonts w:ascii="Open Sans" w:hAnsi="Open Sans" w:cs="Open Sans"/>
                <w:sz w:val="18"/>
                <w:szCs w:val="18"/>
                <w:lang w:val="fr-FR"/>
              </w:rPr>
              <w:t xml:space="preserve"> pendant la formation et le développement du </w:t>
            </w:r>
            <w:r w:rsidR="00FB137D" w:rsidRPr="7E553342">
              <w:rPr>
                <w:rFonts w:ascii="Open Sans" w:hAnsi="Open Sans" w:cs="Open Sans"/>
                <w:sz w:val="18"/>
                <w:szCs w:val="18"/>
                <w:lang w:val="fr-FR"/>
              </w:rPr>
              <w:t>BP</w:t>
            </w:r>
            <w:r w:rsidR="00740DD4" w:rsidRPr="7E553342">
              <w:rPr>
                <w:rFonts w:ascii="Open Sans" w:hAnsi="Open Sans" w:cs="Open Sans"/>
                <w:sz w:val="18"/>
                <w:szCs w:val="18"/>
                <w:lang w:val="fr-FR"/>
              </w:rPr>
              <w:t xml:space="preserve"> (en tenant compte de l</w:t>
            </w:r>
            <w:r w:rsidR="00D57539" w:rsidRPr="7E553342">
              <w:rPr>
                <w:rFonts w:ascii="Open Sans" w:hAnsi="Open Sans" w:cs="Open Sans"/>
                <w:sz w:val="18"/>
                <w:szCs w:val="18"/>
                <w:lang w:val="fr-FR"/>
              </w:rPr>
              <w:t>’</w:t>
            </w:r>
            <w:r w:rsidR="00740DD4" w:rsidRPr="7E553342">
              <w:rPr>
                <w:rFonts w:ascii="Open Sans" w:hAnsi="Open Sans" w:cs="Open Sans"/>
                <w:sz w:val="18"/>
                <w:szCs w:val="18"/>
                <w:lang w:val="fr-FR"/>
              </w:rPr>
              <w:t xml:space="preserve">expérience antérieure, des RH, du marché, </w:t>
            </w:r>
            <w:r w:rsidR="00FB137D" w:rsidRPr="7E553342">
              <w:rPr>
                <w:rFonts w:ascii="Open Sans" w:hAnsi="Open Sans" w:cs="Open Sans"/>
                <w:sz w:val="18"/>
                <w:szCs w:val="18"/>
                <w:lang w:val="fr-FR"/>
              </w:rPr>
              <w:t>du rapport</w:t>
            </w:r>
            <w:r w:rsidR="00740DD4" w:rsidRPr="7E553342">
              <w:rPr>
                <w:rFonts w:ascii="Open Sans" w:hAnsi="Open Sans" w:cs="Open Sans"/>
                <w:sz w:val="18"/>
                <w:szCs w:val="18"/>
                <w:lang w:val="fr-FR"/>
              </w:rPr>
              <w:t xml:space="preserve"> coûts/</w:t>
            </w:r>
            <w:r w:rsidR="00FB137D" w:rsidRPr="7E553342">
              <w:rPr>
                <w:rFonts w:ascii="Open Sans" w:hAnsi="Open Sans" w:cs="Open Sans"/>
                <w:sz w:val="18"/>
                <w:szCs w:val="18"/>
                <w:lang w:val="fr-FR"/>
              </w:rPr>
              <w:t>bénéfices</w:t>
            </w:r>
            <w:r w:rsidR="00740DD4" w:rsidRPr="7E553342">
              <w:rPr>
                <w:rFonts w:ascii="Open Sans" w:hAnsi="Open Sans" w:cs="Open Sans"/>
                <w:sz w:val="18"/>
                <w:szCs w:val="18"/>
                <w:lang w:val="fr-FR"/>
              </w:rPr>
              <w:t>).</w:t>
            </w:r>
          </w:p>
          <w:p w14:paraId="5F76A6C6" w14:textId="333EFD34" w:rsidR="007D2271" w:rsidRPr="00950511" w:rsidRDefault="00740DD4" w:rsidP="00D048BD">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Si l</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entreprise ferme et que la subvention est toujours en cours, </w:t>
            </w:r>
            <w:r w:rsidR="00FB137D" w:rsidRPr="00950511">
              <w:rPr>
                <w:rFonts w:ascii="Open Sans" w:hAnsi="Open Sans" w:cs="Open Sans"/>
                <w:sz w:val="18"/>
                <w:szCs w:val="18"/>
                <w:lang w:val="fr-FR"/>
              </w:rPr>
              <w:t>la situation</w:t>
            </w:r>
            <w:r w:rsidRPr="00950511">
              <w:rPr>
                <w:rFonts w:ascii="Open Sans" w:hAnsi="Open Sans" w:cs="Open Sans"/>
                <w:sz w:val="18"/>
                <w:szCs w:val="18"/>
                <w:lang w:val="fr-FR"/>
              </w:rPr>
              <w:t xml:space="preserve"> sera analysé</w:t>
            </w:r>
            <w:r w:rsidR="00FB137D" w:rsidRPr="00950511">
              <w:rPr>
                <w:rFonts w:ascii="Open Sans" w:hAnsi="Open Sans" w:cs="Open Sans"/>
                <w:sz w:val="18"/>
                <w:szCs w:val="18"/>
                <w:lang w:val="fr-FR"/>
              </w:rPr>
              <w:t>e</w:t>
            </w:r>
            <w:r w:rsidRPr="00950511">
              <w:rPr>
                <w:rFonts w:ascii="Open Sans" w:hAnsi="Open Sans" w:cs="Open Sans"/>
                <w:sz w:val="18"/>
                <w:szCs w:val="18"/>
                <w:lang w:val="fr-FR"/>
              </w:rPr>
              <w:t xml:space="preserve"> et </w:t>
            </w:r>
            <w:r w:rsidR="00FB137D" w:rsidRPr="00950511">
              <w:rPr>
                <w:rFonts w:ascii="Open Sans" w:hAnsi="Open Sans" w:cs="Open Sans"/>
                <w:sz w:val="18"/>
                <w:szCs w:val="18"/>
                <w:lang w:val="fr-FR"/>
              </w:rPr>
              <w:t>l’accord</w:t>
            </w:r>
            <w:r w:rsidRPr="00950511">
              <w:rPr>
                <w:rFonts w:ascii="Open Sans" w:hAnsi="Open Sans" w:cs="Open Sans"/>
                <w:sz w:val="18"/>
                <w:szCs w:val="18"/>
                <w:lang w:val="fr-FR"/>
              </w:rPr>
              <w:t xml:space="preserve"> pourra être résilié</w:t>
            </w:r>
            <w:r w:rsidR="007D2271" w:rsidRPr="00950511">
              <w:rPr>
                <w:rFonts w:ascii="Open Sans" w:hAnsi="Open Sans" w:cs="Open Sans"/>
                <w:sz w:val="18"/>
                <w:szCs w:val="18"/>
                <w:lang w:val="fr-FR"/>
              </w:rPr>
              <w:t>.</w:t>
            </w:r>
          </w:p>
        </w:tc>
      </w:tr>
      <w:tr w:rsidR="007E3980" w:rsidRPr="00950511" w14:paraId="681617A4" w14:textId="77777777" w:rsidTr="00315B1B">
        <w:trPr>
          <w:jc w:val="center"/>
        </w:trPr>
        <w:tc>
          <w:tcPr>
            <w:tcW w:w="952" w:type="pct"/>
            <w:shd w:val="clear" w:color="auto" w:fill="A6A6A6" w:themeFill="background1" w:themeFillShade="A6"/>
          </w:tcPr>
          <w:p w14:paraId="7DDE8953" w14:textId="74D031D9" w:rsidR="007E3980" w:rsidRPr="00950511" w:rsidRDefault="00740DD4" w:rsidP="000A6ABD">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t>Maladie d</w:t>
            </w:r>
            <w:r w:rsidR="07A446FA" w:rsidRPr="7E553342">
              <w:rPr>
                <w:rFonts w:ascii="Montserrat SemiBold" w:hAnsi="Montserrat SemiBold" w:cs="Open Sans"/>
                <w:color w:val="FFFFFF" w:themeColor="background1"/>
                <w:sz w:val="18"/>
                <w:szCs w:val="18"/>
                <w:lang w:val="fr-FR"/>
              </w:rPr>
              <w:t>u</w:t>
            </w:r>
            <w:r w:rsidRPr="7E553342">
              <w:rPr>
                <w:rFonts w:ascii="Montserrat SemiBold" w:hAnsi="Montserrat SemiBold" w:cs="Open Sans"/>
                <w:color w:val="FFFFFF" w:themeColor="background1"/>
                <w:sz w:val="18"/>
                <w:szCs w:val="18"/>
                <w:lang w:val="fr-FR"/>
              </w:rPr>
              <w:t xml:space="preserve"> propriétaire qui doit fermer </w:t>
            </w:r>
            <w:r w:rsidR="00523C7A" w:rsidRPr="7E553342">
              <w:rPr>
                <w:rFonts w:ascii="Montserrat SemiBold" w:hAnsi="Montserrat SemiBold" w:cs="Open Sans"/>
                <w:color w:val="FFFFFF" w:themeColor="background1"/>
                <w:sz w:val="18"/>
                <w:szCs w:val="18"/>
                <w:lang w:val="fr-FR"/>
              </w:rPr>
              <w:t>la ME</w:t>
            </w:r>
            <w:r w:rsidR="00027671" w:rsidRPr="7E553342">
              <w:rPr>
                <w:rFonts w:ascii="Montserrat SemiBold" w:hAnsi="Montserrat SemiBold" w:cs="Open Sans"/>
                <w:color w:val="FFFFFF" w:themeColor="background1"/>
                <w:sz w:val="18"/>
                <w:szCs w:val="18"/>
                <w:lang w:val="fr-FR"/>
              </w:rPr>
              <w:t>.</w:t>
            </w:r>
          </w:p>
        </w:tc>
        <w:tc>
          <w:tcPr>
            <w:tcW w:w="409" w:type="pct"/>
            <w:vAlign w:val="center"/>
          </w:tcPr>
          <w:p w14:paraId="5D472F36" w14:textId="77777777" w:rsidR="007E3980" w:rsidRPr="00950511" w:rsidRDefault="007E3980" w:rsidP="007E3980">
            <w:pPr>
              <w:pStyle w:val="BulletTableau"/>
              <w:framePr w:wrap="around"/>
              <w:numPr>
                <w:ilvl w:val="0"/>
                <w:numId w:val="0"/>
              </w:numPr>
              <w:spacing w:before="144" w:after="48"/>
              <w:rPr>
                <w:lang w:val="fr-FR"/>
              </w:rPr>
            </w:pPr>
          </w:p>
        </w:tc>
        <w:tc>
          <w:tcPr>
            <w:tcW w:w="435" w:type="pct"/>
          </w:tcPr>
          <w:p w14:paraId="0EEB006A" w14:textId="77777777" w:rsidR="007E3980" w:rsidRPr="00950511" w:rsidRDefault="007E3980" w:rsidP="007E3980">
            <w:pPr>
              <w:pStyle w:val="BulletTableau"/>
              <w:framePr w:wrap="around"/>
              <w:numPr>
                <w:ilvl w:val="0"/>
                <w:numId w:val="0"/>
              </w:numPr>
              <w:spacing w:before="144" w:after="48"/>
              <w:rPr>
                <w:lang w:val="fr-FR"/>
              </w:rPr>
            </w:pPr>
          </w:p>
        </w:tc>
        <w:tc>
          <w:tcPr>
            <w:tcW w:w="3204" w:type="pct"/>
          </w:tcPr>
          <w:p w14:paraId="6F94D7BC" w14:textId="06D32D5D" w:rsidR="007E3980" w:rsidRPr="00950511" w:rsidRDefault="00740DD4"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La famille sera contactée pour voir si elle peut reprendre l</w:t>
            </w:r>
            <w:r w:rsidR="00D57539" w:rsidRPr="00950511">
              <w:rPr>
                <w:rFonts w:ascii="Open Sans" w:hAnsi="Open Sans" w:cs="Open Sans"/>
                <w:sz w:val="18"/>
                <w:szCs w:val="18"/>
                <w:lang w:val="fr-FR"/>
              </w:rPr>
              <w:t>’</w:t>
            </w:r>
            <w:r w:rsidRPr="00950511">
              <w:rPr>
                <w:rFonts w:ascii="Open Sans" w:hAnsi="Open Sans" w:cs="Open Sans"/>
                <w:sz w:val="18"/>
                <w:szCs w:val="18"/>
                <w:lang w:val="fr-FR"/>
              </w:rPr>
              <w:t>entreprise</w:t>
            </w:r>
            <w:r w:rsidR="007E3980" w:rsidRPr="00950511">
              <w:rPr>
                <w:rFonts w:ascii="Open Sans" w:hAnsi="Open Sans" w:cs="Open Sans"/>
                <w:sz w:val="18"/>
                <w:szCs w:val="18"/>
                <w:lang w:val="fr-FR"/>
              </w:rPr>
              <w:t>.</w:t>
            </w:r>
          </w:p>
          <w:p w14:paraId="0BACB3F1" w14:textId="7D69B352" w:rsidR="007E3980" w:rsidRPr="00950511" w:rsidRDefault="00740DD4"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Si la famille ne peut pas la reprendre et qu</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une subvention </w:t>
            </w:r>
            <w:r w:rsidR="00FB137D" w:rsidRPr="00950511">
              <w:rPr>
                <w:rFonts w:ascii="Open Sans" w:hAnsi="Open Sans" w:cs="Open Sans"/>
                <w:sz w:val="18"/>
                <w:szCs w:val="18"/>
                <w:lang w:val="fr-FR"/>
              </w:rPr>
              <w:t>est en attente de versement</w:t>
            </w:r>
            <w:r w:rsidRPr="00950511">
              <w:rPr>
                <w:rFonts w:ascii="Open Sans" w:hAnsi="Open Sans" w:cs="Open Sans"/>
                <w:sz w:val="18"/>
                <w:szCs w:val="18"/>
                <w:lang w:val="fr-FR"/>
              </w:rPr>
              <w:t xml:space="preserve">, </w:t>
            </w:r>
            <w:r w:rsidR="00FB137D" w:rsidRPr="00950511">
              <w:rPr>
                <w:rFonts w:ascii="Open Sans" w:hAnsi="Open Sans" w:cs="Open Sans"/>
                <w:sz w:val="18"/>
                <w:szCs w:val="18"/>
                <w:lang w:val="fr-FR"/>
              </w:rPr>
              <w:t>l’accord</w:t>
            </w:r>
            <w:r w:rsidRPr="00950511">
              <w:rPr>
                <w:rFonts w:ascii="Open Sans" w:hAnsi="Open Sans" w:cs="Open Sans"/>
                <w:sz w:val="18"/>
                <w:szCs w:val="18"/>
                <w:lang w:val="fr-FR"/>
              </w:rPr>
              <w:t xml:space="preserve"> sera annulé</w:t>
            </w:r>
            <w:r w:rsidR="007E3980" w:rsidRPr="00950511">
              <w:rPr>
                <w:rFonts w:ascii="Open Sans" w:hAnsi="Open Sans" w:cs="Open Sans"/>
                <w:sz w:val="18"/>
                <w:szCs w:val="18"/>
                <w:lang w:val="fr-FR"/>
              </w:rPr>
              <w:t>.</w:t>
            </w:r>
          </w:p>
          <w:p w14:paraId="2363063F" w14:textId="77777777" w:rsidR="005960C6" w:rsidRPr="00950511"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lang w:val="fr-FR"/>
              </w:rPr>
            </w:pPr>
          </w:p>
          <w:p w14:paraId="687B9528" w14:textId="3D4F39A3" w:rsidR="005960C6" w:rsidRPr="00950511"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lang w:val="fr-FR"/>
              </w:rPr>
            </w:pPr>
          </w:p>
        </w:tc>
      </w:tr>
      <w:tr w:rsidR="007E3980" w:rsidRPr="00950511" w14:paraId="491BBCDB" w14:textId="77777777" w:rsidTr="00315B1B">
        <w:trPr>
          <w:jc w:val="center"/>
        </w:trPr>
        <w:tc>
          <w:tcPr>
            <w:tcW w:w="952" w:type="pct"/>
            <w:shd w:val="clear" w:color="auto" w:fill="A6A6A6" w:themeFill="background1" w:themeFillShade="A6"/>
            <w:vAlign w:val="center"/>
          </w:tcPr>
          <w:p w14:paraId="305E9ABF" w14:textId="518472CD" w:rsidR="007E3980" w:rsidRPr="00950511" w:rsidRDefault="00740DD4"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Modification du ME</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38636E99" w14:textId="77777777" w:rsidR="007E3980" w:rsidRPr="00950511" w:rsidRDefault="007E3980" w:rsidP="007E3980">
            <w:pPr>
              <w:jc w:val="center"/>
              <w:rPr>
                <w:rFonts w:ascii="Open Sans" w:hAnsi="Open Sans" w:cs="Open Sans"/>
                <w:bCs/>
                <w:iCs/>
                <w:color w:val="000000"/>
                <w:sz w:val="20"/>
                <w:szCs w:val="20"/>
                <w:lang w:val="fr-FR" w:eastAsia="en-GB"/>
              </w:rPr>
            </w:pPr>
          </w:p>
        </w:tc>
        <w:tc>
          <w:tcPr>
            <w:tcW w:w="435" w:type="pct"/>
            <w:shd w:val="clear" w:color="auto" w:fill="FFFFFF" w:themeFill="background1"/>
            <w:vAlign w:val="center"/>
          </w:tcPr>
          <w:p w14:paraId="5996BBEC" w14:textId="77777777"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06B42C7F" w14:textId="56C0FEFC" w:rsidR="007E3980" w:rsidRPr="00950511" w:rsidRDefault="00740DD4"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 xml:space="preserve">La modification du </w:t>
            </w:r>
            <w:proofErr w:type="gramStart"/>
            <w:r w:rsidRPr="7E553342">
              <w:rPr>
                <w:rFonts w:ascii="Open Sans" w:hAnsi="Open Sans" w:cs="Open Sans"/>
                <w:sz w:val="18"/>
                <w:szCs w:val="18"/>
                <w:lang w:val="fr-FR"/>
              </w:rPr>
              <w:t>ME entre</w:t>
            </w:r>
            <w:proofErr w:type="gramEnd"/>
            <w:r w:rsidRPr="7E553342">
              <w:rPr>
                <w:rFonts w:ascii="Open Sans" w:hAnsi="Open Sans" w:cs="Open Sans"/>
                <w:sz w:val="18"/>
                <w:szCs w:val="18"/>
                <w:lang w:val="fr-FR"/>
              </w:rPr>
              <w:t xml:space="preserve"> le cycle du projet n</w:t>
            </w:r>
            <w:r w:rsidR="00D57539" w:rsidRPr="7E553342">
              <w:rPr>
                <w:rFonts w:ascii="Open Sans" w:hAnsi="Open Sans" w:cs="Open Sans"/>
                <w:sz w:val="18"/>
                <w:szCs w:val="18"/>
                <w:lang w:val="fr-FR"/>
              </w:rPr>
              <w:t>’</w:t>
            </w:r>
            <w:r w:rsidRPr="7E553342">
              <w:rPr>
                <w:rFonts w:ascii="Open Sans" w:hAnsi="Open Sans" w:cs="Open Sans"/>
                <w:sz w:val="18"/>
                <w:szCs w:val="18"/>
                <w:lang w:val="fr-FR"/>
              </w:rPr>
              <w:t>est pas recommandée. Le bénéficiaire doit informer la SN de son intention d</w:t>
            </w:r>
            <w:r w:rsidR="00D57539" w:rsidRPr="7E553342">
              <w:rPr>
                <w:rFonts w:ascii="Open Sans" w:hAnsi="Open Sans" w:cs="Open Sans"/>
                <w:sz w:val="18"/>
                <w:szCs w:val="18"/>
                <w:lang w:val="fr-FR"/>
              </w:rPr>
              <w:t>’</w:t>
            </w:r>
            <w:r w:rsidRPr="7E553342">
              <w:rPr>
                <w:rFonts w:ascii="Open Sans" w:hAnsi="Open Sans" w:cs="Open Sans"/>
                <w:sz w:val="18"/>
                <w:szCs w:val="18"/>
                <w:lang w:val="fr-FR"/>
              </w:rPr>
              <w:t>apporter une modification et la justifier en vue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être approuvée. Un nouveau </w:t>
            </w:r>
            <w:r w:rsidR="00FB137D" w:rsidRPr="7E553342">
              <w:rPr>
                <w:rFonts w:ascii="Open Sans" w:hAnsi="Open Sans" w:cs="Open Sans"/>
                <w:sz w:val="18"/>
                <w:szCs w:val="18"/>
                <w:lang w:val="fr-FR"/>
              </w:rPr>
              <w:t>business plan</w:t>
            </w:r>
            <w:r w:rsidRPr="7E553342">
              <w:rPr>
                <w:rFonts w:ascii="Open Sans" w:hAnsi="Open Sans" w:cs="Open Sans"/>
                <w:sz w:val="18"/>
                <w:szCs w:val="18"/>
                <w:lang w:val="fr-FR"/>
              </w:rPr>
              <w:t xml:space="preserve"> doit être établi et approuvé.</w:t>
            </w:r>
          </w:p>
        </w:tc>
      </w:tr>
      <w:tr w:rsidR="007E3980" w:rsidRPr="00950511" w14:paraId="7CF51163" w14:textId="77777777" w:rsidTr="00315B1B">
        <w:trPr>
          <w:jc w:val="center"/>
        </w:trPr>
        <w:tc>
          <w:tcPr>
            <w:tcW w:w="952" w:type="pct"/>
            <w:shd w:val="clear" w:color="auto" w:fill="A6A6A6" w:themeFill="background1" w:themeFillShade="A6"/>
            <w:vAlign w:val="center"/>
          </w:tcPr>
          <w:p w14:paraId="48290AA7" w14:textId="3C89DED8" w:rsidR="007E3980" w:rsidRPr="00950511" w:rsidRDefault="00740DD4"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Le marché n</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a pas réagi au produit, d</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où une baisse des revenus et des bénéfices.</w:t>
            </w:r>
          </w:p>
        </w:tc>
        <w:tc>
          <w:tcPr>
            <w:tcW w:w="409" w:type="pct"/>
            <w:shd w:val="clear" w:color="auto" w:fill="FFFFFF" w:themeFill="background1"/>
            <w:vAlign w:val="center"/>
          </w:tcPr>
          <w:p w14:paraId="698A947D" w14:textId="77777777" w:rsidR="007E3980" w:rsidRPr="00950511" w:rsidRDefault="007E3980" w:rsidP="007E3980">
            <w:pPr>
              <w:jc w:val="center"/>
              <w:rPr>
                <w:rFonts w:ascii="Open Sans" w:hAnsi="Open Sans" w:cs="Open Sans"/>
                <w:b/>
                <w:bCs/>
                <w:sz w:val="20"/>
                <w:szCs w:val="20"/>
                <w:lang w:val="fr-FR"/>
              </w:rPr>
            </w:pPr>
          </w:p>
        </w:tc>
        <w:tc>
          <w:tcPr>
            <w:tcW w:w="435" w:type="pct"/>
            <w:shd w:val="clear" w:color="auto" w:fill="FFFFFF" w:themeFill="background1"/>
            <w:vAlign w:val="center"/>
          </w:tcPr>
          <w:p w14:paraId="046F67DD" w14:textId="77777777"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40F044B4" w14:textId="5F545C29" w:rsidR="007E3980" w:rsidRPr="00950511" w:rsidRDefault="00740DD4"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La SN n</w:t>
            </w:r>
            <w:r w:rsidR="00D57539" w:rsidRPr="00950511">
              <w:rPr>
                <w:rFonts w:ascii="Open Sans" w:hAnsi="Open Sans" w:cs="Open Sans"/>
                <w:sz w:val="18"/>
                <w:szCs w:val="18"/>
                <w:lang w:val="fr-FR"/>
              </w:rPr>
              <w:t>’</w:t>
            </w:r>
            <w:r w:rsidRPr="00950511">
              <w:rPr>
                <w:rFonts w:ascii="Open Sans" w:hAnsi="Open Sans" w:cs="Open Sans"/>
                <w:sz w:val="18"/>
                <w:szCs w:val="18"/>
                <w:lang w:val="fr-FR"/>
              </w:rPr>
              <w:t>assume pas la responsabilité du marketing, c</w:t>
            </w:r>
            <w:r w:rsidR="00D57539" w:rsidRPr="00950511">
              <w:rPr>
                <w:rFonts w:ascii="Open Sans" w:hAnsi="Open Sans" w:cs="Open Sans"/>
                <w:sz w:val="18"/>
                <w:szCs w:val="18"/>
                <w:lang w:val="fr-FR"/>
              </w:rPr>
              <w:t>’</w:t>
            </w:r>
            <w:r w:rsidRPr="00950511">
              <w:rPr>
                <w:rFonts w:ascii="Open Sans" w:hAnsi="Open Sans" w:cs="Open Sans"/>
                <w:sz w:val="18"/>
                <w:szCs w:val="18"/>
                <w:lang w:val="fr-FR"/>
              </w:rPr>
              <w:t>est pourquoi le choix d</w:t>
            </w:r>
            <w:r w:rsidR="00D57539" w:rsidRPr="00950511">
              <w:rPr>
                <w:rFonts w:ascii="Open Sans" w:hAnsi="Open Sans" w:cs="Open Sans"/>
                <w:sz w:val="18"/>
                <w:szCs w:val="18"/>
                <w:lang w:val="fr-FR"/>
              </w:rPr>
              <w:t>’</w:t>
            </w:r>
            <w:r w:rsidRPr="00950511">
              <w:rPr>
                <w:rFonts w:ascii="Open Sans" w:hAnsi="Open Sans" w:cs="Open Sans"/>
                <w:sz w:val="18"/>
                <w:szCs w:val="18"/>
                <w:lang w:val="fr-FR"/>
              </w:rPr>
              <w:t>un ME doit s</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appuyer sur une évaluation </w:t>
            </w:r>
            <w:r w:rsidR="00FB137D" w:rsidRPr="00950511">
              <w:rPr>
                <w:rFonts w:ascii="Open Sans" w:hAnsi="Open Sans" w:cs="Open Sans"/>
                <w:sz w:val="18"/>
                <w:szCs w:val="18"/>
                <w:lang w:val="fr-FR"/>
              </w:rPr>
              <w:t xml:space="preserve">initiale </w:t>
            </w:r>
            <w:r w:rsidRPr="00950511">
              <w:rPr>
                <w:rFonts w:ascii="Open Sans" w:hAnsi="Open Sans" w:cs="Open Sans"/>
                <w:sz w:val="18"/>
                <w:szCs w:val="18"/>
                <w:lang w:val="fr-FR"/>
              </w:rPr>
              <w:t xml:space="preserve">des risques </w:t>
            </w:r>
            <w:r w:rsidR="000C0542" w:rsidRPr="00950511">
              <w:rPr>
                <w:rFonts w:ascii="Open Sans" w:hAnsi="Open Sans" w:cs="Open Sans"/>
                <w:sz w:val="18"/>
                <w:szCs w:val="18"/>
                <w:lang w:val="fr-FR"/>
              </w:rPr>
              <w:t xml:space="preserve">encourus </w:t>
            </w:r>
            <w:r w:rsidRPr="00950511">
              <w:rPr>
                <w:rFonts w:ascii="Open Sans" w:hAnsi="Open Sans" w:cs="Open Sans"/>
                <w:sz w:val="18"/>
                <w:szCs w:val="18"/>
                <w:lang w:val="fr-FR"/>
              </w:rPr>
              <w:t>par le ménage</w:t>
            </w:r>
            <w:r w:rsidR="007E3980" w:rsidRPr="00950511">
              <w:rPr>
                <w:rFonts w:ascii="Open Sans" w:hAnsi="Open Sans" w:cs="Open Sans"/>
                <w:sz w:val="18"/>
                <w:szCs w:val="18"/>
                <w:lang w:val="fr-FR"/>
              </w:rPr>
              <w:t>.</w:t>
            </w:r>
          </w:p>
          <w:p w14:paraId="5C8888CD" w14:textId="56482013" w:rsidR="007E3980" w:rsidRPr="00950511" w:rsidRDefault="002D2D7F"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00950511">
              <w:rPr>
                <w:rFonts w:ascii="Open Sans" w:hAnsi="Open Sans" w:cs="Open Sans"/>
                <w:sz w:val="18"/>
                <w:szCs w:val="18"/>
                <w:lang w:val="fr-FR"/>
              </w:rPr>
              <w:t>L</w:t>
            </w:r>
            <w:r w:rsidR="00D57539" w:rsidRPr="00950511">
              <w:rPr>
                <w:rFonts w:ascii="Open Sans" w:hAnsi="Open Sans" w:cs="Open Sans"/>
                <w:sz w:val="18"/>
                <w:szCs w:val="18"/>
                <w:lang w:val="fr-FR"/>
              </w:rPr>
              <w:t>’</w:t>
            </w:r>
            <w:r w:rsidRPr="00950511">
              <w:rPr>
                <w:rFonts w:ascii="Open Sans" w:hAnsi="Open Sans" w:cs="Open Sans"/>
                <w:sz w:val="18"/>
                <w:szCs w:val="18"/>
                <w:lang w:val="fr-FR"/>
              </w:rPr>
              <w:t>organisation de formations à la gestion d</w:t>
            </w:r>
            <w:r w:rsidR="00D57539" w:rsidRPr="00950511">
              <w:rPr>
                <w:rFonts w:ascii="Open Sans" w:hAnsi="Open Sans" w:cs="Open Sans"/>
                <w:sz w:val="18"/>
                <w:szCs w:val="18"/>
                <w:lang w:val="fr-FR"/>
              </w:rPr>
              <w:t>’</w:t>
            </w:r>
            <w:r w:rsidRPr="00950511">
              <w:rPr>
                <w:rFonts w:ascii="Open Sans" w:hAnsi="Open Sans" w:cs="Open Sans"/>
                <w:sz w:val="18"/>
                <w:szCs w:val="18"/>
                <w:lang w:val="fr-FR"/>
              </w:rPr>
              <w:t>entreprise, l</w:t>
            </w:r>
            <w:r w:rsidR="00D57539" w:rsidRPr="00950511">
              <w:rPr>
                <w:rFonts w:ascii="Open Sans" w:hAnsi="Open Sans" w:cs="Open Sans"/>
                <w:sz w:val="18"/>
                <w:szCs w:val="18"/>
                <w:lang w:val="fr-FR"/>
              </w:rPr>
              <w:t>’</w:t>
            </w:r>
            <w:r w:rsidRPr="00950511">
              <w:rPr>
                <w:rFonts w:ascii="Open Sans" w:hAnsi="Open Sans" w:cs="Open Sans"/>
                <w:sz w:val="18"/>
                <w:szCs w:val="18"/>
                <w:lang w:val="fr-FR"/>
              </w:rPr>
              <w:t>appui technique lors des visites de contrôle doivent aider le bénéficiaire à réfléchir aux risques éventuels</w:t>
            </w:r>
            <w:r w:rsidR="007E3980" w:rsidRPr="00950511">
              <w:rPr>
                <w:rFonts w:ascii="Open Sans" w:hAnsi="Open Sans" w:cs="Open Sans"/>
                <w:sz w:val="18"/>
                <w:szCs w:val="18"/>
                <w:lang w:val="fr-FR"/>
              </w:rPr>
              <w:t>.</w:t>
            </w:r>
          </w:p>
        </w:tc>
      </w:tr>
      <w:tr w:rsidR="007E3980" w:rsidRPr="00950511" w14:paraId="7DE13CFF" w14:textId="77777777" w:rsidTr="00315B1B">
        <w:trPr>
          <w:jc w:val="center"/>
        </w:trPr>
        <w:tc>
          <w:tcPr>
            <w:tcW w:w="952" w:type="pct"/>
            <w:shd w:val="clear" w:color="auto" w:fill="A6A6A6" w:themeFill="background1" w:themeFillShade="A6"/>
            <w:vAlign w:val="center"/>
          </w:tcPr>
          <w:p w14:paraId="2A9CA12A" w14:textId="27BA5EE0" w:rsidR="007E3980" w:rsidRPr="00950511" w:rsidRDefault="002D2D7F"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t xml:space="preserve">Activité </w:t>
            </w:r>
            <w:r w:rsidR="0067152C" w:rsidRPr="7E553342">
              <w:rPr>
                <w:rFonts w:ascii="Montserrat SemiBold" w:hAnsi="Montserrat SemiBold" w:cs="Open Sans"/>
                <w:color w:val="FFFFFF" w:themeColor="background1"/>
                <w:sz w:val="18"/>
                <w:szCs w:val="18"/>
                <w:lang w:val="fr-FR"/>
              </w:rPr>
              <w:t xml:space="preserve">de </w:t>
            </w:r>
            <w:r w:rsidRPr="7E553342">
              <w:rPr>
                <w:rFonts w:ascii="Montserrat SemiBold" w:hAnsi="Montserrat SemiBold" w:cs="Open Sans"/>
                <w:color w:val="FFFFFF" w:themeColor="background1"/>
                <w:sz w:val="18"/>
                <w:szCs w:val="18"/>
                <w:lang w:val="fr-FR"/>
              </w:rPr>
              <w:t xml:space="preserve">ME </w:t>
            </w:r>
            <w:r w:rsidR="00B0336D" w:rsidRPr="7E553342">
              <w:rPr>
                <w:rFonts w:ascii="Montserrat SemiBold" w:hAnsi="Montserrat SemiBold" w:cs="Open Sans"/>
                <w:color w:val="FFFFFF" w:themeColor="background1"/>
                <w:sz w:val="18"/>
                <w:szCs w:val="18"/>
                <w:lang w:val="fr-FR"/>
              </w:rPr>
              <w:t xml:space="preserve">sous-traitée </w:t>
            </w:r>
            <w:r w:rsidRPr="7E553342">
              <w:rPr>
                <w:rFonts w:ascii="Montserrat SemiBold" w:hAnsi="Montserrat SemiBold" w:cs="Open Sans"/>
                <w:color w:val="FFFFFF" w:themeColor="background1"/>
                <w:sz w:val="18"/>
                <w:szCs w:val="18"/>
                <w:lang w:val="fr-FR"/>
              </w:rPr>
              <w:t>à un tiers</w:t>
            </w:r>
            <w:r w:rsidR="00027671" w:rsidRPr="7E553342">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55DF82A0" w14:textId="77777777" w:rsidR="007E3980" w:rsidRPr="00950511" w:rsidRDefault="007E3980" w:rsidP="007E3980">
            <w:pPr>
              <w:jc w:val="center"/>
              <w:rPr>
                <w:rFonts w:ascii="Open Sans" w:hAnsi="Open Sans" w:cs="Open Sans"/>
                <w:b/>
                <w:bCs/>
                <w:sz w:val="20"/>
                <w:szCs w:val="20"/>
                <w:lang w:val="fr-FR"/>
              </w:rPr>
            </w:pPr>
          </w:p>
        </w:tc>
        <w:tc>
          <w:tcPr>
            <w:tcW w:w="435" w:type="pct"/>
            <w:shd w:val="clear" w:color="auto" w:fill="FFFFFF" w:themeFill="background1"/>
            <w:vAlign w:val="center"/>
          </w:tcPr>
          <w:p w14:paraId="7AA32111" w14:textId="77777777"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5F388D6C" w14:textId="249F05BA" w:rsidR="007E3980" w:rsidRPr="00950511" w:rsidRDefault="002D2D7F"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Il faut avertir le bénéficiaire qu</w:t>
            </w:r>
            <w:r w:rsidR="00D57539" w:rsidRPr="7E553342">
              <w:rPr>
                <w:rFonts w:ascii="Open Sans" w:hAnsi="Open Sans" w:cs="Open Sans"/>
                <w:sz w:val="18"/>
                <w:szCs w:val="18"/>
                <w:lang w:val="fr-FR"/>
              </w:rPr>
              <w:t>’</w:t>
            </w:r>
            <w:r w:rsidRPr="7E553342">
              <w:rPr>
                <w:rFonts w:ascii="Open Sans" w:hAnsi="Open Sans" w:cs="Open Sans"/>
                <w:sz w:val="18"/>
                <w:szCs w:val="18"/>
                <w:lang w:val="fr-FR"/>
              </w:rPr>
              <w:t>il doit se consacrer à l</w:t>
            </w:r>
            <w:r w:rsidR="00D57539" w:rsidRPr="7E553342">
              <w:rPr>
                <w:rFonts w:ascii="Open Sans" w:hAnsi="Open Sans" w:cs="Open Sans"/>
                <w:sz w:val="18"/>
                <w:szCs w:val="18"/>
                <w:lang w:val="fr-FR"/>
              </w:rPr>
              <w:t>’</w:t>
            </w:r>
            <w:r w:rsidRPr="7E553342">
              <w:rPr>
                <w:rFonts w:ascii="Open Sans" w:hAnsi="Open Sans" w:cs="Open Sans"/>
                <w:sz w:val="18"/>
                <w:szCs w:val="18"/>
                <w:lang w:val="fr-FR"/>
              </w:rPr>
              <w:t>activité et s</w:t>
            </w:r>
            <w:r w:rsidR="00D57539" w:rsidRPr="7E553342">
              <w:rPr>
                <w:rFonts w:ascii="Open Sans" w:hAnsi="Open Sans" w:cs="Open Sans"/>
                <w:sz w:val="18"/>
                <w:szCs w:val="18"/>
                <w:lang w:val="fr-FR"/>
              </w:rPr>
              <w:t>’</w:t>
            </w:r>
            <w:r w:rsidRPr="7E553342">
              <w:rPr>
                <w:rFonts w:ascii="Open Sans" w:hAnsi="Open Sans" w:cs="Open Sans"/>
                <w:sz w:val="18"/>
                <w:szCs w:val="18"/>
                <w:lang w:val="fr-FR"/>
              </w:rPr>
              <w:t>engager lui-même</w:t>
            </w:r>
            <w:r w:rsidR="007E3980" w:rsidRPr="7E553342">
              <w:rPr>
                <w:rFonts w:ascii="Open Sans" w:hAnsi="Open Sans" w:cs="Open Sans"/>
                <w:sz w:val="18"/>
                <w:szCs w:val="18"/>
                <w:lang w:val="fr-FR"/>
              </w:rPr>
              <w:t xml:space="preserve">. </w:t>
            </w:r>
          </w:p>
          <w:p w14:paraId="17965901" w14:textId="03654AFF" w:rsidR="007E3980" w:rsidRPr="00950511" w:rsidRDefault="002D2D7F"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Le protocole d</w:t>
            </w:r>
            <w:r w:rsidR="00D57539" w:rsidRPr="7E553342">
              <w:rPr>
                <w:rFonts w:ascii="Open Sans" w:hAnsi="Open Sans" w:cs="Open Sans"/>
                <w:sz w:val="18"/>
                <w:szCs w:val="18"/>
                <w:lang w:val="fr-FR"/>
              </w:rPr>
              <w:t>’</w:t>
            </w:r>
            <w:r w:rsidRPr="7E553342">
              <w:rPr>
                <w:rFonts w:ascii="Open Sans" w:hAnsi="Open Sans" w:cs="Open Sans"/>
                <w:sz w:val="18"/>
                <w:szCs w:val="18"/>
                <w:lang w:val="fr-FR"/>
              </w:rPr>
              <w:t xml:space="preserve">accord entre le bénéficiaire, le comité de projet et la SN (y compris les fonctions et les responsabilités) doit être signé avant de recevoir </w:t>
            </w:r>
            <w:r w:rsidR="00E7332B" w:rsidRPr="7E553342">
              <w:rPr>
                <w:rFonts w:ascii="Open Sans" w:hAnsi="Open Sans" w:cs="Open Sans"/>
                <w:sz w:val="18"/>
                <w:szCs w:val="18"/>
                <w:lang w:val="fr-FR"/>
              </w:rPr>
              <w:t>la première tranche</w:t>
            </w:r>
            <w:r w:rsidR="007E3980" w:rsidRPr="7E553342">
              <w:rPr>
                <w:rFonts w:ascii="Open Sans" w:hAnsi="Open Sans" w:cs="Open Sans"/>
                <w:sz w:val="18"/>
                <w:szCs w:val="18"/>
                <w:lang w:val="fr-FR"/>
              </w:rPr>
              <w:t xml:space="preserve">. </w:t>
            </w:r>
          </w:p>
        </w:tc>
      </w:tr>
      <w:tr w:rsidR="007E3980" w:rsidRPr="00950511" w14:paraId="3D8CB270" w14:textId="77777777" w:rsidTr="00315B1B">
        <w:trPr>
          <w:jc w:val="center"/>
        </w:trPr>
        <w:tc>
          <w:tcPr>
            <w:tcW w:w="952" w:type="pct"/>
            <w:shd w:val="clear" w:color="auto" w:fill="A6A6A6" w:themeFill="background1" w:themeFillShade="A6"/>
            <w:vAlign w:val="center"/>
          </w:tcPr>
          <w:p w14:paraId="5811D395" w14:textId="559C73F3" w:rsidR="007E3980" w:rsidRPr="00950511" w:rsidRDefault="002D2D7F"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lastRenderedPageBreak/>
              <w:t>Accident ou blessure pendant la mise en œuvre de l</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activité de ME</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3EEEEBD2" w14:textId="77777777" w:rsidR="007E3980" w:rsidRPr="00950511" w:rsidRDefault="007E3980" w:rsidP="007E3980">
            <w:pPr>
              <w:jc w:val="center"/>
              <w:rPr>
                <w:rFonts w:ascii="Open Sans" w:hAnsi="Open Sans" w:cs="Open Sans"/>
                <w:b/>
                <w:bCs/>
                <w:sz w:val="20"/>
                <w:szCs w:val="20"/>
                <w:lang w:val="fr-FR"/>
              </w:rPr>
            </w:pPr>
          </w:p>
        </w:tc>
        <w:tc>
          <w:tcPr>
            <w:tcW w:w="435" w:type="pct"/>
            <w:shd w:val="clear" w:color="auto" w:fill="FFFFFF" w:themeFill="background1"/>
            <w:vAlign w:val="center"/>
          </w:tcPr>
          <w:p w14:paraId="6ED9B852" w14:textId="77777777"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042A2C05" w14:textId="44BEA85C" w:rsidR="007E3980" w:rsidRPr="00950511" w:rsidRDefault="002D2D7F"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fr-FR"/>
              </w:rPr>
            </w:pPr>
            <w:r w:rsidRPr="7E553342">
              <w:rPr>
                <w:rFonts w:ascii="Open Sans" w:hAnsi="Open Sans" w:cs="Open Sans"/>
                <w:sz w:val="18"/>
                <w:szCs w:val="18"/>
                <w:lang w:val="fr-FR"/>
              </w:rPr>
              <w:t>La SN doit sensibiliser les bénéficiaires au fait que toute responsabilité, notamment en cas de blessure, d</w:t>
            </w:r>
            <w:r w:rsidR="00D57539" w:rsidRPr="7E553342">
              <w:rPr>
                <w:rFonts w:ascii="Open Sans" w:hAnsi="Open Sans" w:cs="Open Sans"/>
                <w:sz w:val="18"/>
                <w:szCs w:val="18"/>
                <w:lang w:val="fr-FR"/>
              </w:rPr>
              <w:t>’</w:t>
            </w:r>
            <w:r w:rsidRPr="7E553342">
              <w:rPr>
                <w:rFonts w:ascii="Open Sans" w:hAnsi="Open Sans" w:cs="Open Sans"/>
                <w:sz w:val="18"/>
                <w:szCs w:val="18"/>
                <w:lang w:val="fr-FR"/>
              </w:rPr>
              <w:t>accident ou de contretemps lors de la mise en œuvre de l</w:t>
            </w:r>
            <w:r w:rsidR="00D57539" w:rsidRPr="7E553342">
              <w:rPr>
                <w:rFonts w:ascii="Open Sans" w:hAnsi="Open Sans" w:cs="Open Sans"/>
                <w:sz w:val="18"/>
                <w:szCs w:val="18"/>
                <w:lang w:val="fr-FR"/>
              </w:rPr>
              <w:t>’</w:t>
            </w:r>
            <w:r w:rsidRPr="7E553342">
              <w:rPr>
                <w:rFonts w:ascii="Open Sans" w:hAnsi="Open Sans" w:cs="Open Sans"/>
                <w:sz w:val="18"/>
                <w:szCs w:val="18"/>
                <w:lang w:val="fr-FR"/>
              </w:rPr>
              <w:t>activité de ME, relève de la responsabilité du</w:t>
            </w:r>
            <w:r w:rsidR="4D904D60" w:rsidRPr="7E553342">
              <w:rPr>
                <w:rFonts w:ascii="Open Sans" w:hAnsi="Open Sans" w:cs="Open Sans"/>
                <w:sz w:val="18"/>
                <w:szCs w:val="18"/>
                <w:lang w:val="fr-FR"/>
              </w:rPr>
              <w:t xml:space="preserve"> </w:t>
            </w:r>
            <w:r w:rsidRPr="7E553342">
              <w:rPr>
                <w:rFonts w:ascii="Open Sans" w:hAnsi="Open Sans" w:cs="Open Sans"/>
                <w:sz w:val="18"/>
                <w:szCs w:val="18"/>
                <w:lang w:val="fr-FR"/>
              </w:rPr>
              <w:t>bénéficiaire. La Croix-Rouge n</w:t>
            </w:r>
            <w:r w:rsidR="00D57539" w:rsidRPr="7E553342">
              <w:rPr>
                <w:rFonts w:ascii="Open Sans" w:hAnsi="Open Sans" w:cs="Open Sans"/>
                <w:sz w:val="18"/>
                <w:szCs w:val="18"/>
                <w:lang w:val="fr-FR"/>
              </w:rPr>
              <w:t>’</w:t>
            </w:r>
            <w:r w:rsidRPr="7E553342">
              <w:rPr>
                <w:rFonts w:ascii="Open Sans" w:hAnsi="Open Sans" w:cs="Open Sans"/>
                <w:sz w:val="18"/>
                <w:szCs w:val="18"/>
                <w:lang w:val="fr-FR"/>
              </w:rPr>
              <w:t>est en aucun cas responsable</w:t>
            </w:r>
            <w:r w:rsidR="007E3980" w:rsidRPr="7E553342">
              <w:rPr>
                <w:rFonts w:ascii="Open Sans" w:hAnsi="Open Sans" w:cs="Open Sans"/>
                <w:sz w:val="18"/>
                <w:szCs w:val="18"/>
                <w:lang w:val="fr-FR"/>
              </w:rPr>
              <w:t>.</w:t>
            </w:r>
          </w:p>
          <w:p w14:paraId="2ABF153F" w14:textId="77777777" w:rsidR="005960C6" w:rsidRPr="00950511"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fr-FR"/>
              </w:rPr>
            </w:pPr>
          </w:p>
          <w:p w14:paraId="3181043F" w14:textId="60E776A2" w:rsidR="005960C6" w:rsidRPr="00950511"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fr-FR"/>
              </w:rPr>
            </w:pPr>
          </w:p>
        </w:tc>
      </w:tr>
      <w:tr w:rsidR="007E3980" w:rsidRPr="00950511" w14:paraId="23A493F7" w14:textId="77777777" w:rsidTr="6838ACE2">
        <w:trPr>
          <w:jc w:val="center"/>
        </w:trPr>
        <w:tc>
          <w:tcPr>
            <w:tcW w:w="5000" w:type="pct"/>
            <w:gridSpan w:val="4"/>
            <w:shd w:val="clear" w:color="auto" w:fill="A6A6A6" w:themeFill="background1" w:themeFillShade="A6"/>
            <w:vAlign w:val="center"/>
          </w:tcPr>
          <w:p w14:paraId="41E25A07" w14:textId="5BD85125" w:rsidR="007E3980" w:rsidRPr="00950511" w:rsidRDefault="002D2D7F" w:rsidP="007E3980">
            <w:pPr>
              <w:pStyle w:val="BulletTableau"/>
              <w:framePr w:hSpace="0" w:wrap="auto" w:vAnchor="margin" w:hAnchor="text" w:yAlign="inline"/>
              <w:spacing w:beforeLines="0" w:before="20" w:afterLines="0"/>
              <w:ind w:hanging="357"/>
              <w:jc w:val="left"/>
              <w:rPr>
                <w:rFonts w:ascii="Montserrat SemiBold" w:hAnsi="Montserrat SemiBold" w:cs="Open Sans"/>
                <w:szCs w:val="20"/>
                <w:lang w:val="fr-FR"/>
              </w:rPr>
            </w:pPr>
            <w:r w:rsidRPr="00950511">
              <w:rPr>
                <w:rFonts w:ascii="Montserrat SemiBold" w:hAnsi="Montserrat SemiBold" w:cs="Open Sans"/>
                <w:szCs w:val="20"/>
                <w:lang w:val="fr-FR"/>
              </w:rPr>
              <w:t>En cas d</w:t>
            </w:r>
            <w:r w:rsidR="00D57539" w:rsidRPr="00950511">
              <w:rPr>
                <w:rFonts w:ascii="Montserrat SemiBold" w:hAnsi="Montserrat SemiBold" w:cs="Open Sans"/>
                <w:szCs w:val="20"/>
                <w:lang w:val="fr-FR"/>
              </w:rPr>
              <w:t>’</w:t>
            </w:r>
            <w:r w:rsidRPr="00950511">
              <w:rPr>
                <w:rFonts w:ascii="Montserrat SemiBold" w:hAnsi="Montserrat SemiBold" w:cs="Open Sans"/>
                <w:szCs w:val="20"/>
                <w:lang w:val="fr-FR"/>
              </w:rPr>
              <w:t>octroi d</w:t>
            </w:r>
            <w:r w:rsidR="00D57539" w:rsidRPr="00950511">
              <w:rPr>
                <w:rFonts w:ascii="Montserrat SemiBold" w:hAnsi="Montserrat SemiBold" w:cs="Open Sans"/>
                <w:szCs w:val="20"/>
                <w:lang w:val="fr-FR"/>
              </w:rPr>
              <w:t>’</w:t>
            </w:r>
            <w:r w:rsidRPr="00950511">
              <w:rPr>
                <w:rFonts w:ascii="Montserrat SemiBold" w:hAnsi="Montserrat SemiBold" w:cs="Open Sans"/>
                <w:szCs w:val="20"/>
                <w:lang w:val="fr-FR"/>
              </w:rPr>
              <w:t>une subvention pour le ME sous forme d</w:t>
            </w:r>
            <w:r w:rsidR="00D57539" w:rsidRPr="00950511">
              <w:rPr>
                <w:rFonts w:ascii="Montserrat SemiBold" w:hAnsi="Montserrat SemiBold" w:cs="Open Sans"/>
                <w:szCs w:val="20"/>
                <w:lang w:val="fr-FR"/>
              </w:rPr>
              <w:t>’</w:t>
            </w:r>
            <w:r w:rsidRPr="00950511">
              <w:rPr>
                <w:rFonts w:ascii="Montserrat SemiBold" w:hAnsi="Montserrat SemiBold" w:cs="Open Sans"/>
                <w:szCs w:val="20"/>
                <w:lang w:val="fr-FR"/>
              </w:rPr>
              <w:t xml:space="preserve">une subvention en espèces conditionnelle comportant plusieurs </w:t>
            </w:r>
            <w:r w:rsidR="00E7332B" w:rsidRPr="00950511">
              <w:rPr>
                <w:rFonts w:ascii="Montserrat SemiBold" w:hAnsi="Montserrat SemiBold" w:cs="Open Sans"/>
                <w:szCs w:val="20"/>
                <w:lang w:val="fr-FR"/>
              </w:rPr>
              <w:t>tranches</w:t>
            </w:r>
            <w:r w:rsidRPr="00950511">
              <w:rPr>
                <w:rFonts w:ascii="Montserrat SemiBold" w:hAnsi="Montserrat SemiBold" w:cs="Open Sans"/>
                <w:szCs w:val="20"/>
                <w:lang w:val="fr-FR"/>
              </w:rPr>
              <w:t> </w:t>
            </w:r>
            <w:r w:rsidR="007E3980" w:rsidRPr="00950511">
              <w:rPr>
                <w:rFonts w:ascii="Montserrat SemiBold" w:hAnsi="Montserrat SemiBold" w:cs="Open Sans"/>
                <w:szCs w:val="20"/>
                <w:lang w:val="fr-FR"/>
              </w:rPr>
              <w:t>:</w:t>
            </w:r>
          </w:p>
        </w:tc>
      </w:tr>
      <w:tr w:rsidR="007E3980" w:rsidRPr="00950511" w14:paraId="2A2E4CCA" w14:textId="77777777" w:rsidTr="00315B1B">
        <w:trPr>
          <w:jc w:val="center"/>
        </w:trPr>
        <w:tc>
          <w:tcPr>
            <w:tcW w:w="952" w:type="pct"/>
            <w:shd w:val="clear" w:color="auto" w:fill="A6A6A6" w:themeFill="background1" w:themeFillShade="A6"/>
            <w:vAlign w:val="center"/>
          </w:tcPr>
          <w:p w14:paraId="7BCD20E6" w14:textId="13D7B737" w:rsidR="007E3980" w:rsidRPr="00950511" w:rsidRDefault="002D2D7F"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Abus et corruption à l</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égard des bénéficiaires lors du contrôle pour l</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approbation de la deuxième tranche</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07742446" w14:textId="5C0406E8" w:rsidR="007E3980" w:rsidRPr="00950511" w:rsidRDefault="007E3980" w:rsidP="007E3980">
            <w:pPr>
              <w:jc w:val="center"/>
              <w:rPr>
                <w:rFonts w:ascii="Open Sans" w:hAnsi="Open Sans" w:cs="Open Sans"/>
                <w:b/>
                <w:bCs/>
                <w:sz w:val="20"/>
                <w:szCs w:val="20"/>
                <w:lang w:val="fr-FR"/>
              </w:rPr>
            </w:pPr>
          </w:p>
        </w:tc>
        <w:tc>
          <w:tcPr>
            <w:tcW w:w="435" w:type="pct"/>
            <w:shd w:val="clear" w:color="auto" w:fill="FFFFFF" w:themeFill="background1"/>
            <w:vAlign w:val="center"/>
          </w:tcPr>
          <w:p w14:paraId="0DA049B4" w14:textId="7D37AD65"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593841AD" w14:textId="4503043B" w:rsidR="007E3980" w:rsidRPr="00950511" w:rsidRDefault="002D2D7F" w:rsidP="00E22D55">
            <w:pPr>
              <w:pStyle w:val="Prrafodelista"/>
              <w:numPr>
                <w:ilvl w:val="0"/>
                <w:numId w:val="6"/>
              </w:numPr>
              <w:spacing w:after="240"/>
              <w:ind w:left="317" w:hanging="284"/>
              <w:rPr>
                <w:rFonts w:ascii="Open Sans" w:hAnsi="Open Sans" w:cs="Open Sans"/>
                <w:sz w:val="18"/>
                <w:szCs w:val="18"/>
                <w:u w:val="single"/>
                <w:lang w:val="fr-FR"/>
              </w:rPr>
            </w:pPr>
            <w:r w:rsidRPr="7E553342">
              <w:rPr>
                <w:rFonts w:ascii="Open Sans" w:hAnsi="Open Sans" w:cs="Open Sans"/>
                <w:sz w:val="18"/>
                <w:szCs w:val="18"/>
                <w:lang w:val="fr-FR"/>
              </w:rPr>
              <w:t>Le protocole d</w:t>
            </w:r>
            <w:r w:rsidR="00D57539" w:rsidRPr="7E553342">
              <w:rPr>
                <w:rFonts w:ascii="Open Sans" w:hAnsi="Open Sans" w:cs="Open Sans"/>
                <w:sz w:val="18"/>
                <w:szCs w:val="18"/>
                <w:lang w:val="fr-FR"/>
              </w:rPr>
              <w:t>’</w:t>
            </w:r>
            <w:r w:rsidRPr="7E553342">
              <w:rPr>
                <w:rFonts w:ascii="Open Sans" w:hAnsi="Open Sans" w:cs="Open Sans"/>
                <w:sz w:val="18"/>
                <w:szCs w:val="18"/>
                <w:lang w:val="fr-FR"/>
              </w:rPr>
              <w:t>accord entre l</w:t>
            </w:r>
            <w:r w:rsidR="5372B1A2" w:rsidRPr="7E553342">
              <w:rPr>
                <w:rFonts w:ascii="Open Sans" w:hAnsi="Open Sans" w:cs="Open Sans"/>
                <w:sz w:val="18"/>
                <w:szCs w:val="18"/>
                <w:lang w:val="fr-FR"/>
              </w:rPr>
              <w:t xml:space="preserve">a personne </w:t>
            </w:r>
            <w:r w:rsidRPr="7E553342">
              <w:rPr>
                <w:rFonts w:ascii="Open Sans" w:hAnsi="Open Sans" w:cs="Open Sans"/>
                <w:sz w:val="18"/>
                <w:szCs w:val="18"/>
                <w:lang w:val="fr-FR"/>
              </w:rPr>
              <w:t xml:space="preserve">bénéficiaire, le comité de projet local/les autorités locales et la SN (y compris les fonctions et les responsabilités) doit être signé avant </w:t>
            </w:r>
            <w:r w:rsidR="00056785" w:rsidRPr="7E553342">
              <w:rPr>
                <w:rFonts w:ascii="Open Sans" w:hAnsi="Open Sans" w:cs="Open Sans"/>
                <w:sz w:val="18"/>
                <w:szCs w:val="18"/>
                <w:lang w:val="fr-FR"/>
              </w:rPr>
              <w:t>la réception de</w:t>
            </w:r>
            <w:r w:rsidRPr="7E553342">
              <w:rPr>
                <w:rFonts w:ascii="Open Sans" w:hAnsi="Open Sans" w:cs="Open Sans"/>
                <w:sz w:val="18"/>
                <w:szCs w:val="18"/>
                <w:lang w:val="fr-FR"/>
              </w:rPr>
              <w:t xml:space="preserve"> </w:t>
            </w:r>
            <w:r w:rsidR="00E7332B" w:rsidRPr="7E553342">
              <w:rPr>
                <w:rFonts w:ascii="Open Sans" w:hAnsi="Open Sans" w:cs="Open Sans"/>
                <w:sz w:val="18"/>
                <w:szCs w:val="18"/>
                <w:lang w:val="fr-FR"/>
              </w:rPr>
              <w:t>la première tranche</w:t>
            </w:r>
            <w:r w:rsidR="007E3980" w:rsidRPr="7E553342">
              <w:rPr>
                <w:rFonts w:ascii="Open Sans" w:hAnsi="Open Sans" w:cs="Open Sans"/>
                <w:sz w:val="18"/>
                <w:szCs w:val="18"/>
                <w:lang w:val="fr-FR"/>
              </w:rPr>
              <w:t>.</w:t>
            </w:r>
          </w:p>
          <w:p w14:paraId="36EE33DF" w14:textId="77777777" w:rsidR="002D2D7F" w:rsidRPr="00950511" w:rsidRDefault="002D2D7F"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Instaurez un groupe de surveillance par site.</w:t>
            </w:r>
          </w:p>
          <w:p w14:paraId="4E6FE11C" w14:textId="6ABE7C8D" w:rsidR="007E3980" w:rsidRPr="00950511" w:rsidRDefault="002D2D7F"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Session d</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orientation </w:t>
            </w:r>
            <w:r w:rsidR="006C0FBE" w:rsidRPr="00950511">
              <w:rPr>
                <w:rFonts w:ascii="Open Sans" w:hAnsi="Open Sans" w:cs="Open Sans"/>
                <w:sz w:val="18"/>
                <w:szCs w:val="18"/>
                <w:lang w:val="fr-FR"/>
              </w:rPr>
              <w:t>présentant</w:t>
            </w:r>
            <w:r w:rsidRPr="00950511">
              <w:rPr>
                <w:rFonts w:ascii="Open Sans" w:hAnsi="Open Sans" w:cs="Open Sans"/>
                <w:sz w:val="18"/>
                <w:szCs w:val="18"/>
                <w:lang w:val="fr-FR"/>
              </w:rPr>
              <w:t xml:space="preserve"> toutes les exigences techniques/conditions d</w:t>
            </w:r>
            <w:r w:rsidR="00D57539" w:rsidRPr="00950511">
              <w:rPr>
                <w:rFonts w:ascii="Open Sans" w:hAnsi="Open Sans" w:cs="Open Sans"/>
                <w:sz w:val="18"/>
                <w:szCs w:val="18"/>
                <w:lang w:val="fr-FR"/>
              </w:rPr>
              <w:t>’</w:t>
            </w:r>
            <w:r w:rsidRPr="00950511">
              <w:rPr>
                <w:rFonts w:ascii="Open Sans" w:hAnsi="Open Sans" w:cs="Open Sans"/>
                <w:sz w:val="18"/>
                <w:szCs w:val="18"/>
                <w:lang w:val="fr-FR"/>
              </w:rPr>
              <w:t>approbation</w:t>
            </w:r>
            <w:r w:rsidR="007E3980" w:rsidRPr="00950511">
              <w:rPr>
                <w:rFonts w:ascii="Open Sans" w:hAnsi="Open Sans" w:cs="Open Sans"/>
                <w:sz w:val="18"/>
                <w:szCs w:val="18"/>
                <w:lang w:val="fr-FR"/>
              </w:rPr>
              <w:t xml:space="preserve">. </w:t>
            </w:r>
          </w:p>
          <w:p w14:paraId="351BBFB9" w14:textId="6A5CC165" w:rsidR="007E3980" w:rsidRPr="00950511" w:rsidRDefault="002D2D7F"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La triangulation du suivi de l</w:t>
            </w:r>
            <w:r w:rsidR="00D57539" w:rsidRPr="00950511">
              <w:rPr>
                <w:rFonts w:ascii="Open Sans" w:hAnsi="Open Sans" w:cs="Open Sans"/>
                <w:sz w:val="18"/>
                <w:szCs w:val="18"/>
                <w:lang w:val="fr-FR"/>
              </w:rPr>
              <w:t>’</w:t>
            </w:r>
            <w:r w:rsidRPr="00950511">
              <w:rPr>
                <w:rFonts w:ascii="Open Sans" w:hAnsi="Open Sans" w:cs="Open Sans"/>
                <w:sz w:val="18"/>
                <w:szCs w:val="18"/>
                <w:lang w:val="fr-FR"/>
              </w:rPr>
              <w:t>utilisation de la première tranche par l</w:t>
            </w:r>
            <w:r w:rsidR="00D57539" w:rsidRPr="00950511">
              <w:rPr>
                <w:rFonts w:ascii="Open Sans" w:hAnsi="Open Sans" w:cs="Open Sans"/>
                <w:sz w:val="18"/>
                <w:szCs w:val="18"/>
                <w:lang w:val="fr-FR"/>
              </w:rPr>
              <w:t>’</w:t>
            </w:r>
            <w:r w:rsidRPr="00950511">
              <w:rPr>
                <w:rFonts w:ascii="Open Sans" w:hAnsi="Open Sans" w:cs="Open Sans"/>
                <w:sz w:val="18"/>
                <w:szCs w:val="18"/>
                <w:lang w:val="fr-FR"/>
              </w:rPr>
              <w:t xml:space="preserve">équipe est nécessaire pour limiter/contrôler </w:t>
            </w:r>
            <w:r w:rsidR="00056785" w:rsidRPr="00950511">
              <w:rPr>
                <w:rFonts w:ascii="Open Sans" w:hAnsi="Open Sans" w:cs="Open Sans"/>
                <w:sz w:val="18"/>
                <w:szCs w:val="18"/>
                <w:lang w:val="fr-FR"/>
              </w:rPr>
              <w:t>les rapports de force</w:t>
            </w:r>
            <w:r w:rsidRPr="00950511">
              <w:rPr>
                <w:rFonts w:ascii="Open Sans" w:hAnsi="Open Sans" w:cs="Open Sans"/>
                <w:sz w:val="18"/>
                <w:szCs w:val="18"/>
                <w:lang w:val="fr-FR"/>
              </w:rPr>
              <w:t xml:space="preserve"> indésirables et les approbations incorrectes de la deuxième tranche</w:t>
            </w:r>
            <w:r w:rsidR="007E3980" w:rsidRPr="00950511">
              <w:rPr>
                <w:rFonts w:ascii="Open Sans" w:hAnsi="Open Sans" w:cs="Open Sans"/>
                <w:sz w:val="18"/>
                <w:szCs w:val="18"/>
                <w:lang w:val="fr-FR"/>
              </w:rPr>
              <w:t>.</w:t>
            </w:r>
          </w:p>
          <w:p w14:paraId="0496D9CD" w14:textId="2DA33014" w:rsidR="007E3980" w:rsidRPr="00950511" w:rsidRDefault="002D2D7F" w:rsidP="00E22D55">
            <w:pPr>
              <w:pStyle w:val="Prrafodelista"/>
              <w:numPr>
                <w:ilvl w:val="0"/>
                <w:numId w:val="5"/>
              </w:numPr>
              <w:spacing w:after="0"/>
              <w:ind w:left="314"/>
              <w:rPr>
                <w:rFonts w:ascii="Open Sans" w:hAnsi="Open Sans" w:cs="Open Sans"/>
                <w:sz w:val="18"/>
                <w:szCs w:val="18"/>
                <w:lang w:val="fr-FR"/>
              </w:rPr>
            </w:pPr>
            <w:r w:rsidRPr="00950511">
              <w:rPr>
                <w:rFonts w:ascii="Open Sans" w:hAnsi="Open Sans" w:cs="Open Sans"/>
                <w:sz w:val="18"/>
                <w:szCs w:val="18"/>
                <w:lang w:val="fr-FR"/>
              </w:rPr>
              <w:t>Établissez une activité de suivi après la distribution de la deuxième tranche</w:t>
            </w:r>
            <w:r w:rsidR="007E3980" w:rsidRPr="00950511">
              <w:rPr>
                <w:rFonts w:ascii="Open Sans" w:hAnsi="Open Sans" w:cs="Open Sans"/>
                <w:sz w:val="18"/>
                <w:szCs w:val="18"/>
                <w:lang w:val="fr-FR"/>
              </w:rPr>
              <w:t>.</w:t>
            </w:r>
          </w:p>
        </w:tc>
      </w:tr>
      <w:tr w:rsidR="007E3980" w:rsidRPr="00950511" w14:paraId="382A6862" w14:textId="77777777" w:rsidTr="00315B1B">
        <w:trPr>
          <w:jc w:val="center"/>
        </w:trPr>
        <w:tc>
          <w:tcPr>
            <w:tcW w:w="952" w:type="pct"/>
            <w:shd w:val="clear" w:color="auto" w:fill="A6A6A6" w:themeFill="background1" w:themeFillShade="A6"/>
          </w:tcPr>
          <w:p w14:paraId="4D44A784" w14:textId="120C9130" w:rsidR="007E3980" w:rsidRPr="00950511" w:rsidRDefault="002D2D7F"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Non-respect des conditions d</w:t>
            </w:r>
            <w:r w:rsidR="00D57539" w:rsidRPr="00950511">
              <w:rPr>
                <w:rFonts w:ascii="Montserrat SemiBold" w:hAnsi="Montserrat SemiBold" w:cs="Open Sans"/>
                <w:color w:val="FFFFFF" w:themeColor="background1"/>
                <w:sz w:val="18"/>
                <w:szCs w:val="18"/>
                <w:lang w:val="fr-FR"/>
              </w:rPr>
              <w:t>’</w:t>
            </w:r>
            <w:r w:rsidRPr="00950511">
              <w:rPr>
                <w:rFonts w:ascii="Montserrat SemiBold" w:hAnsi="Montserrat SemiBold" w:cs="Open Sans"/>
                <w:color w:val="FFFFFF" w:themeColor="background1"/>
                <w:sz w:val="18"/>
                <w:szCs w:val="18"/>
                <w:lang w:val="fr-FR"/>
              </w:rPr>
              <w:t xml:space="preserve">octroi du transfert monétaire en espèce lors du </w:t>
            </w:r>
            <w:r w:rsidR="00056785" w:rsidRPr="00950511">
              <w:rPr>
                <w:rFonts w:ascii="Montserrat SemiBold" w:hAnsi="Montserrat SemiBold" w:cs="Open Sans"/>
                <w:color w:val="FFFFFF" w:themeColor="background1"/>
                <w:sz w:val="18"/>
                <w:szCs w:val="18"/>
                <w:lang w:val="fr-FR"/>
              </w:rPr>
              <w:t>suivi</w:t>
            </w:r>
            <w:r w:rsidRPr="00950511">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5DDB4D64" w14:textId="2189DF01" w:rsidR="007E3980" w:rsidRPr="00950511" w:rsidRDefault="007E3980" w:rsidP="007E3980">
            <w:pPr>
              <w:jc w:val="center"/>
              <w:rPr>
                <w:rFonts w:ascii="Open Sans" w:hAnsi="Open Sans" w:cs="Open Sans"/>
                <w:bCs/>
                <w:iCs/>
                <w:color w:val="000000"/>
                <w:sz w:val="20"/>
                <w:szCs w:val="20"/>
                <w:lang w:val="fr-FR" w:eastAsia="en-GB"/>
              </w:rPr>
            </w:pPr>
          </w:p>
        </w:tc>
        <w:tc>
          <w:tcPr>
            <w:tcW w:w="435" w:type="pct"/>
            <w:shd w:val="clear" w:color="auto" w:fill="FFFFFF" w:themeFill="background1"/>
            <w:vAlign w:val="center"/>
          </w:tcPr>
          <w:p w14:paraId="4134D862" w14:textId="77777777"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tcPr>
          <w:p w14:paraId="6927D52F" w14:textId="6CD86C22" w:rsidR="007E3980" w:rsidRPr="00950511" w:rsidRDefault="00BB5B9E" w:rsidP="00713103">
            <w:pPr>
              <w:pStyle w:val="Prrafodelista"/>
              <w:numPr>
                <w:ilvl w:val="1"/>
                <w:numId w:val="4"/>
              </w:numPr>
              <w:spacing w:after="240"/>
              <w:ind w:left="312" w:hanging="357"/>
              <w:rPr>
                <w:rFonts w:ascii="Open Sans" w:hAnsi="Open Sans" w:cs="Open Sans"/>
                <w:sz w:val="18"/>
                <w:szCs w:val="18"/>
                <w:lang w:val="fr-FR"/>
              </w:rPr>
            </w:pPr>
            <w:r w:rsidRPr="7E553342">
              <w:rPr>
                <w:rFonts w:ascii="Open Sans" w:hAnsi="Open Sans" w:cs="Open Sans"/>
                <w:sz w:val="18"/>
                <w:szCs w:val="18"/>
                <w:lang w:val="fr-FR"/>
              </w:rPr>
              <w:t xml:space="preserve">Lorsque </w:t>
            </w:r>
            <w:r w:rsidR="00056785" w:rsidRPr="7E553342">
              <w:rPr>
                <w:rFonts w:ascii="Open Sans" w:hAnsi="Open Sans" w:cs="Open Sans"/>
                <w:sz w:val="18"/>
                <w:szCs w:val="18"/>
                <w:lang w:val="fr-FR"/>
              </w:rPr>
              <w:t>le protocole d’accord</w:t>
            </w:r>
            <w:r w:rsidRPr="7E553342">
              <w:rPr>
                <w:rFonts w:ascii="Open Sans" w:hAnsi="Open Sans" w:cs="Open Sans"/>
                <w:sz w:val="18"/>
                <w:szCs w:val="18"/>
                <w:lang w:val="fr-FR"/>
              </w:rPr>
              <w:t xml:space="preserve"> (</w:t>
            </w:r>
            <w:proofErr w:type="spellStart"/>
            <w:r w:rsidRPr="7E553342">
              <w:rPr>
                <w:rFonts w:ascii="Open Sans" w:hAnsi="Open Sans" w:cs="Open Sans"/>
                <w:sz w:val="18"/>
                <w:szCs w:val="18"/>
                <w:lang w:val="fr-FR"/>
              </w:rPr>
              <w:t>MoU</w:t>
            </w:r>
            <w:proofErr w:type="spellEnd"/>
            <w:r w:rsidRPr="7E553342">
              <w:rPr>
                <w:rFonts w:ascii="Open Sans" w:hAnsi="Open Sans" w:cs="Open Sans"/>
                <w:sz w:val="18"/>
                <w:szCs w:val="18"/>
                <w:lang w:val="fr-FR"/>
              </w:rPr>
              <w:t>) est signé, il est demandé au</w:t>
            </w:r>
            <w:r w:rsidR="19EEE9AC" w:rsidRPr="7E553342">
              <w:rPr>
                <w:rFonts w:ascii="Open Sans" w:hAnsi="Open Sans" w:cs="Open Sans"/>
                <w:sz w:val="18"/>
                <w:szCs w:val="18"/>
                <w:lang w:val="fr-FR"/>
              </w:rPr>
              <w:t xml:space="preserve"> </w:t>
            </w:r>
            <w:r w:rsidRPr="7E553342">
              <w:rPr>
                <w:rFonts w:ascii="Open Sans" w:hAnsi="Open Sans" w:cs="Open Sans"/>
                <w:sz w:val="18"/>
                <w:szCs w:val="18"/>
                <w:lang w:val="fr-FR"/>
              </w:rPr>
              <w:t>bénéficiaire de suivre les conditions incluses (par exemple</w:t>
            </w:r>
            <w:r w:rsidR="00056785" w:rsidRPr="7E553342">
              <w:rPr>
                <w:rFonts w:ascii="Open Sans" w:hAnsi="Open Sans" w:cs="Open Sans"/>
                <w:sz w:val="18"/>
                <w:szCs w:val="18"/>
                <w:lang w:val="fr-FR"/>
              </w:rPr>
              <w:t> </w:t>
            </w:r>
            <w:r w:rsidRPr="7E553342">
              <w:rPr>
                <w:rFonts w:ascii="Open Sans" w:hAnsi="Open Sans" w:cs="Open Sans"/>
                <w:sz w:val="18"/>
                <w:szCs w:val="18"/>
                <w:lang w:val="fr-FR"/>
              </w:rPr>
              <w:t>: construire un abri pour les animaux, collecter les reçus/factures pour les dépenses, etc.).</w:t>
            </w:r>
          </w:p>
        </w:tc>
      </w:tr>
      <w:tr w:rsidR="007E3980" w:rsidRPr="00950511" w14:paraId="3E6C4245" w14:textId="77777777" w:rsidTr="00315B1B">
        <w:trPr>
          <w:jc w:val="center"/>
        </w:trPr>
        <w:tc>
          <w:tcPr>
            <w:tcW w:w="952" w:type="pct"/>
            <w:shd w:val="clear" w:color="auto" w:fill="A6A6A6" w:themeFill="background1" w:themeFillShade="A6"/>
          </w:tcPr>
          <w:p w14:paraId="4DF33830" w14:textId="6DE0B4F1" w:rsidR="007E3980" w:rsidRPr="00950511" w:rsidRDefault="00BB5B9E" w:rsidP="00BB5B9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t>L</w:t>
            </w:r>
            <w:r w:rsidR="0074192D" w:rsidRPr="7E553342">
              <w:rPr>
                <w:rFonts w:ascii="Montserrat SemiBold" w:hAnsi="Montserrat SemiBold" w:cs="Open Sans"/>
                <w:color w:val="FFFFFF" w:themeColor="background1"/>
                <w:sz w:val="18"/>
                <w:szCs w:val="18"/>
                <w:lang w:val="fr-FR"/>
              </w:rPr>
              <w:t>a</w:t>
            </w:r>
            <w:r w:rsidRPr="7E553342">
              <w:rPr>
                <w:rFonts w:ascii="Montserrat SemiBold" w:hAnsi="Montserrat SemiBold" w:cs="Open Sans"/>
                <w:color w:val="FFFFFF" w:themeColor="background1"/>
                <w:sz w:val="18"/>
                <w:szCs w:val="18"/>
                <w:lang w:val="fr-FR"/>
              </w:rPr>
              <w:t xml:space="preserve"> ME ferme après avoir reçu l</w:t>
            </w:r>
            <w:r w:rsidR="00056785" w:rsidRPr="7E553342">
              <w:rPr>
                <w:rFonts w:ascii="Montserrat SemiBold" w:hAnsi="Montserrat SemiBold" w:cs="Open Sans"/>
                <w:color w:val="FFFFFF" w:themeColor="background1"/>
                <w:sz w:val="18"/>
                <w:szCs w:val="18"/>
                <w:lang w:val="fr-FR"/>
              </w:rPr>
              <w:t>a</w:t>
            </w:r>
            <w:r w:rsidRPr="7E553342">
              <w:rPr>
                <w:rFonts w:ascii="Montserrat SemiBold" w:hAnsi="Montserrat SemiBold" w:cs="Open Sans"/>
                <w:color w:val="FFFFFF" w:themeColor="background1"/>
                <w:sz w:val="18"/>
                <w:szCs w:val="18"/>
                <w:lang w:val="fr-FR"/>
              </w:rPr>
              <w:t xml:space="preserve"> </w:t>
            </w:r>
            <w:r w:rsidR="00056785" w:rsidRPr="7E553342">
              <w:rPr>
                <w:rFonts w:ascii="Montserrat SemiBold" w:hAnsi="Montserrat SemiBold" w:cs="Open Sans"/>
                <w:color w:val="FFFFFF" w:themeColor="background1"/>
                <w:sz w:val="18"/>
                <w:szCs w:val="18"/>
                <w:lang w:val="fr-FR"/>
              </w:rPr>
              <w:t>première tranche</w:t>
            </w:r>
            <w:r w:rsidRPr="7E553342">
              <w:rPr>
                <w:rFonts w:ascii="Montserrat SemiBold" w:hAnsi="Montserrat SemiBold" w:cs="Open Sans"/>
                <w:color w:val="FFFFFF" w:themeColor="background1"/>
                <w:sz w:val="18"/>
                <w:szCs w:val="18"/>
                <w:lang w:val="fr-FR"/>
              </w:rPr>
              <w:t>. Le bénéficiaire est introuvable, il</w:t>
            </w:r>
            <w:r w:rsidR="1E01DCE8" w:rsidRPr="7E553342">
              <w:rPr>
                <w:rFonts w:ascii="Montserrat SemiBold" w:hAnsi="Montserrat SemiBold" w:cs="Open Sans"/>
                <w:color w:val="FFFFFF" w:themeColor="background1"/>
                <w:sz w:val="18"/>
                <w:szCs w:val="18"/>
                <w:lang w:val="fr-FR"/>
              </w:rPr>
              <w:t xml:space="preserve"> </w:t>
            </w:r>
            <w:r w:rsidRPr="7E553342">
              <w:rPr>
                <w:rFonts w:ascii="Montserrat SemiBold" w:hAnsi="Montserrat SemiBold" w:cs="Open Sans"/>
                <w:color w:val="FFFFFF" w:themeColor="background1"/>
                <w:sz w:val="18"/>
                <w:szCs w:val="18"/>
                <w:lang w:val="fr-FR"/>
              </w:rPr>
              <w:t>ne répond pas aux appels ou ne veut pas continuer</w:t>
            </w:r>
            <w:r w:rsidR="007E3980" w:rsidRPr="7E553342">
              <w:rPr>
                <w:rFonts w:ascii="Montserrat SemiBold" w:hAnsi="Montserrat SemiBold" w:cs="Open Sans"/>
                <w:color w:val="FFFFFF" w:themeColor="background1"/>
                <w:sz w:val="18"/>
                <w:szCs w:val="18"/>
                <w:lang w:val="fr-FR"/>
              </w:rPr>
              <w:t>.</w:t>
            </w:r>
          </w:p>
        </w:tc>
        <w:tc>
          <w:tcPr>
            <w:tcW w:w="409" w:type="pct"/>
            <w:shd w:val="clear" w:color="auto" w:fill="FFFFFF" w:themeFill="background1"/>
            <w:vAlign w:val="center"/>
          </w:tcPr>
          <w:p w14:paraId="06BF794F" w14:textId="413CF258" w:rsidR="007E3980" w:rsidRPr="00950511" w:rsidRDefault="007E3980" w:rsidP="007E3980">
            <w:pPr>
              <w:jc w:val="center"/>
              <w:rPr>
                <w:rFonts w:ascii="Open Sans" w:hAnsi="Open Sans" w:cs="Open Sans"/>
                <w:bCs/>
                <w:iCs/>
                <w:color w:val="000000"/>
                <w:sz w:val="20"/>
                <w:szCs w:val="20"/>
                <w:lang w:val="fr-FR" w:eastAsia="en-GB"/>
              </w:rPr>
            </w:pPr>
          </w:p>
        </w:tc>
        <w:tc>
          <w:tcPr>
            <w:tcW w:w="435" w:type="pct"/>
            <w:shd w:val="clear" w:color="auto" w:fill="FFFFFF" w:themeFill="background1"/>
            <w:vAlign w:val="center"/>
          </w:tcPr>
          <w:p w14:paraId="7A9D8671" w14:textId="77777777" w:rsidR="007E3980" w:rsidRPr="00950511" w:rsidRDefault="007E3980" w:rsidP="005960C6">
            <w:pPr>
              <w:pStyle w:val="BulletTableau"/>
              <w:framePr w:hSpace="0" w:wrap="auto" w:vAnchor="margin" w:hAnchor="text" w:yAlign="inline"/>
              <w:numPr>
                <w:ilvl w:val="0"/>
                <w:numId w:val="0"/>
              </w:numPr>
              <w:spacing w:beforeLines="0" w:before="20" w:afterLines="0"/>
              <w:ind w:left="3"/>
              <w:jc w:val="left"/>
              <w:rPr>
                <w:rFonts w:ascii="Open Sans" w:hAnsi="Open Sans" w:cs="Open Sans"/>
                <w:szCs w:val="20"/>
                <w:lang w:val="fr-FR"/>
              </w:rPr>
            </w:pPr>
          </w:p>
        </w:tc>
        <w:tc>
          <w:tcPr>
            <w:tcW w:w="3204" w:type="pct"/>
            <w:shd w:val="clear" w:color="auto" w:fill="FFFFFF" w:themeFill="background1"/>
          </w:tcPr>
          <w:p w14:paraId="083B867B" w14:textId="29CA87C4" w:rsidR="007E3980" w:rsidRPr="00950511" w:rsidRDefault="00BB5B9E"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 xml:space="preserve">Un suivi étroit sera effectué pour éviter ces </w:t>
            </w:r>
            <w:r w:rsidR="006A2155" w:rsidRPr="00950511">
              <w:rPr>
                <w:rFonts w:ascii="Open Sans" w:hAnsi="Open Sans" w:cs="Open Sans"/>
                <w:sz w:val="18"/>
                <w:szCs w:val="18"/>
                <w:lang w:val="fr-FR"/>
              </w:rPr>
              <w:t>situations</w:t>
            </w:r>
            <w:r w:rsidR="007E3980" w:rsidRPr="00950511">
              <w:rPr>
                <w:rFonts w:ascii="Open Sans" w:hAnsi="Open Sans" w:cs="Open Sans"/>
                <w:sz w:val="18"/>
                <w:szCs w:val="18"/>
                <w:lang w:val="fr-FR"/>
              </w:rPr>
              <w:t>.</w:t>
            </w:r>
          </w:p>
          <w:p w14:paraId="6EA2BFAC" w14:textId="42E999E1" w:rsidR="007E3980" w:rsidRPr="00950511" w:rsidRDefault="00BB5B9E" w:rsidP="00E22D55">
            <w:pPr>
              <w:pStyle w:val="Prrafodelista"/>
              <w:numPr>
                <w:ilvl w:val="0"/>
                <w:numId w:val="6"/>
              </w:numPr>
              <w:spacing w:after="240"/>
              <w:ind w:left="317" w:hanging="284"/>
              <w:rPr>
                <w:rFonts w:ascii="Open Sans" w:hAnsi="Open Sans" w:cs="Open Sans"/>
                <w:sz w:val="18"/>
                <w:szCs w:val="18"/>
                <w:lang w:val="fr-FR"/>
              </w:rPr>
            </w:pPr>
            <w:r w:rsidRPr="7E553342">
              <w:rPr>
                <w:rFonts w:ascii="Open Sans" w:hAnsi="Open Sans" w:cs="Open Sans"/>
                <w:sz w:val="18"/>
                <w:szCs w:val="18"/>
                <w:lang w:val="fr-FR"/>
              </w:rPr>
              <w:t xml:space="preserve">Assurer un bon processus de ciblage (examen et analyse des formulaires de demande, des </w:t>
            </w:r>
            <w:r w:rsidR="00056785" w:rsidRPr="7E553342">
              <w:rPr>
                <w:rFonts w:ascii="Open Sans" w:hAnsi="Open Sans" w:cs="Open Sans"/>
                <w:sz w:val="18"/>
                <w:szCs w:val="18"/>
                <w:lang w:val="fr-FR"/>
              </w:rPr>
              <w:t>business plans</w:t>
            </w:r>
            <w:r w:rsidRPr="7E553342">
              <w:rPr>
                <w:rFonts w:ascii="Open Sans" w:hAnsi="Open Sans" w:cs="Open Sans"/>
                <w:sz w:val="18"/>
                <w:szCs w:val="18"/>
                <w:lang w:val="fr-FR"/>
              </w:rPr>
              <w:t xml:space="preserve">, des entretiens...) et les visites </w:t>
            </w:r>
            <w:r w:rsidR="006A2155" w:rsidRPr="7E553342">
              <w:rPr>
                <w:rFonts w:ascii="Open Sans" w:hAnsi="Open Sans" w:cs="Open Sans"/>
                <w:sz w:val="18"/>
                <w:szCs w:val="18"/>
                <w:lang w:val="fr-FR"/>
              </w:rPr>
              <w:t>sur place</w:t>
            </w:r>
            <w:r w:rsidRPr="7E553342">
              <w:rPr>
                <w:rFonts w:ascii="Open Sans" w:hAnsi="Open Sans" w:cs="Open Sans"/>
                <w:sz w:val="18"/>
                <w:szCs w:val="18"/>
                <w:lang w:val="fr-FR"/>
              </w:rPr>
              <w:t xml:space="preserve"> sont des instruments permettant de mieux comprendre la réalité du bénéficiaire et de l</w:t>
            </w:r>
            <w:r w:rsidR="00D57539" w:rsidRPr="7E553342">
              <w:rPr>
                <w:rFonts w:ascii="Open Sans" w:hAnsi="Open Sans" w:cs="Open Sans"/>
                <w:sz w:val="18"/>
                <w:szCs w:val="18"/>
                <w:lang w:val="fr-FR"/>
              </w:rPr>
              <w:t>’</w:t>
            </w:r>
            <w:r w:rsidRPr="7E553342">
              <w:rPr>
                <w:rFonts w:ascii="Open Sans" w:hAnsi="Open Sans" w:cs="Open Sans"/>
                <w:sz w:val="18"/>
                <w:szCs w:val="18"/>
                <w:lang w:val="fr-FR"/>
              </w:rPr>
              <w:t>entreprise afin d</w:t>
            </w:r>
            <w:r w:rsidR="00D57539" w:rsidRPr="7E553342">
              <w:rPr>
                <w:rFonts w:ascii="Open Sans" w:hAnsi="Open Sans" w:cs="Open Sans"/>
                <w:sz w:val="18"/>
                <w:szCs w:val="18"/>
                <w:lang w:val="fr-FR"/>
              </w:rPr>
              <w:t>’</w:t>
            </w:r>
            <w:r w:rsidRPr="7E553342">
              <w:rPr>
                <w:rFonts w:ascii="Open Sans" w:hAnsi="Open Sans" w:cs="Open Sans"/>
                <w:sz w:val="18"/>
                <w:szCs w:val="18"/>
                <w:lang w:val="fr-FR"/>
              </w:rPr>
              <w:t>éviter ces situations</w:t>
            </w:r>
            <w:r w:rsidR="007E3980" w:rsidRPr="7E553342">
              <w:rPr>
                <w:rFonts w:ascii="Open Sans" w:hAnsi="Open Sans" w:cs="Open Sans"/>
                <w:sz w:val="18"/>
                <w:szCs w:val="18"/>
                <w:lang w:val="fr-FR"/>
              </w:rPr>
              <w:t>.</w:t>
            </w:r>
          </w:p>
          <w:p w14:paraId="74A02304" w14:textId="6B3CE477" w:rsidR="007E3980"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7E553342">
              <w:rPr>
                <w:rFonts w:ascii="Open Sans" w:hAnsi="Open Sans" w:cs="Open Sans"/>
                <w:sz w:val="18"/>
                <w:szCs w:val="18"/>
                <w:lang w:val="fr-FR"/>
              </w:rPr>
              <w:t>À moins que le retrait ne soit dû à une raison valable et justifiée, le bénéficiaire ne sera pas pris en compte lors d</w:t>
            </w:r>
            <w:r w:rsidR="00D57539" w:rsidRPr="7E553342">
              <w:rPr>
                <w:rFonts w:ascii="Open Sans" w:hAnsi="Open Sans" w:cs="Open Sans"/>
                <w:sz w:val="18"/>
                <w:szCs w:val="18"/>
                <w:lang w:val="fr-FR"/>
              </w:rPr>
              <w:t>’</w:t>
            </w:r>
            <w:r w:rsidRPr="7E553342">
              <w:rPr>
                <w:rFonts w:ascii="Open Sans" w:hAnsi="Open Sans" w:cs="Open Sans"/>
                <w:sz w:val="18"/>
                <w:szCs w:val="18"/>
                <w:lang w:val="fr-FR"/>
              </w:rPr>
              <w:t>une deuxième édition.</w:t>
            </w:r>
          </w:p>
        </w:tc>
      </w:tr>
      <w:tr w:rsidR="007E3980" w:rsidRPr="00950511" w14:paraId="66FCA9DE" w14:textId="77777777" w:rsidTr="00D018F1">
        <w:trPr>
          <w:trHeight w:val="1881"/>
          <w:jc w:val="center"/>
        </w:trPr>
        <w:tc>
          <w:tcPr>
            <w:tcW w:w="952" w:type="pct"/>
            <w:shd w:val="clear" w:color="auto" w:fill="A6A6A6" w:themeFill="background1" w:themeFillShade="A6"/>
            <w:vAlign w:val="center"/>
          </w:tcPr>
          <w:p w14:paraId="5A37279B" w14:textId="701FE6E0" w:rsidR="007E3980" w:rsidRPr="00950511" w:rsidRDefault="006A2155"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Conflits au sein de la communauté liés au paiement de la subvention.</w:t>
            </w:r>
          </w:p>
        </w:tc>
        <w:tc>
          <w:tcPr>
            <w:tcW w:w="409" w:type="pct"/>
            <w:shd w:val="clear" w:color="auto" w:fill="FFFFFF" w:themeFill="background1"/>
            <w:vAlign w:val="center"/>
          </w:tcPr>
          <w:p w14:paraId="10F75DA6" w14:textId="77777777" w:rsidR="007E3980" w:rsidRPr="00950511" w:rsidRDefault="007E3980" w:rsidP="007E3980">
            <w:pPr>
              <w:jc w:val="center"/>
              <w:rPr>
                <w:rFonts w:ascii="Open Sans" w:hAnsi="Open Sans" w:cs="Open Sans"/>
                <w:b/>
                <w:bCs/>
                <w:sz w:val="20"/>
                <w:szCs w:val="20"/>
                <w:lang w:val="fr-FR"/>
              </w:rPr>
            </w:pPr>
          </w:p>
        </w:tc>
        <w:tc>
          <w:tcPr>
            <w:tcW w:w="435" w:type="pct"/>
            <w:shd w:val="clear" w:color="auto" w:fill="FFFFFF" w:themeFill="background1"/>
            <w:vAlign w:val="center"/>
          </w:tcPr>
          <w:p w14:paraId="7CD051D6" w14:textId="3AAD39B0" w:rsidR="007E3980" w:rsidRPr="00950511" w:rsidRDefault="007E3980" w:rsidP="007E3980">
            <w:pPr>
              <w:spacing w:after="0"/>
              <w:ind w:left="-46"/>
              <w:rPr>
                <w:rFonts w:ascii="Open Sans" w:hAnsi="Open Sans" w:cs="Open Sans"/>
                <w:sz w:val="20"/>
                <w:szCs w:val="20"/>
                <w:lang w:val="fr-FR"/>
              </w:rPr>
            </w:pPr>
          </w:p>
        </w:tc>
        <w:tc>
          <w:tcPr>
            <w:tcW w:w="3204" w:type="pct"/>
            <w:shd w:val="clear" w:color="auto" w:fill="FFFFFF" w:themeFill="background1"/>
            <w:vAlign w:val="center"/>
          </w:tcPr>
          <w:p w14:paraId="5EE08935" w14:textId="5173F0FD" w:rsidR="007E3980"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Veillez à ce que l</w:t>
            </w:r>
            <w:r w:rsidR="00D57539" w:rsidRPr="00950511">
              <w:rPr>
                <w:rFonts w:ascii="Open Sans" w:hAnsi="Open Sans" w:cs="Open Sans"/>
                <w:sz w:val="18"/>
                <w:szCs w:val="18"/>
                <w:lang w:val="fr-FR"/>
              </w:rPr>
              <w:t>’</w:t>
            </w:r>
            <w:r w:rsidRPr="00950511">
              <w:rPr>
                <w:rFonts w:ascii="Open Sans" w:hAnsi="Open Sans" w:cs="Open Sans"/>
                <w:sz w:val="18"/>
                <w:szCs w:val="18"/>
                <w:lang w:val="fr-FR"/>
              </w:rPr>
              <w:t>ensemble du personnel du service financier soit conscient que les paiements sont effectués à temps</w:t>
            </w:r>
            <w:r w:rsidR="00A0296D" w:rsidRPr="00950511">
              <w:rPr>
                <w:rFonts w:ascii="Open Sans" w:hAnsi="Open Sans" w:cs="Open Sans"/>
                <w:sz w:val="18"/>
                <w:szCs w:val="18"/>
                <w:lang w:val="fr-FR"/>
              </w:rPr>
              <w:t> </w:t>
            </w:r>
            <w:r w:rsidRPr="00950511">
              <w:rPr>
                <w:rFonts w:ascii="Open Sans" w:hAnsi="Open Sans" w:cs="Open Sans"/>
                <w:sz w:val="18"/>
                <w:szCs w:val="18"/>
                <w:lang w:val="fr-FR"/>
              </w:rPr>
              <w:t>: les retards de paiement peuvent accroître la vulnérabilité des ménages ciblés et provoquer des tensions au sein de la communauté.</w:t>
            </w:r>
          </w:p>
        </w:tc>
      </w:tr>
      <w:tr w:rsidR="00126BC4" w:rsidRPr="00950511" w14:paraId="00B8E31E" w14:textId="77777777" w:rsidTr="6838ACE2">
        <w:trPr>
          <w:jc w:val="center"/>
        </w:trPr>
        <w:tc>
          <w:tcPr>
            <w:tcW w:w="5000" w:type="pct"/>
            <w:gridSpan w:val="4"/>
            <w:shd w:val="clear" w:color="auto" w:fill="A6A6A6" w:themeFill="background1" w:themeFillShade="A6"/>
            <w:vAlign w:val="center"/>
          </w:tcPr>
          <w:p w14:paraId="09A1013B" w14:textId="5771671C" w:rsidR="00126BC4" w:rsidRPr="00950511" w:rsidRDefault="006A2155" w:rsidP="6838ACE2">
            <w:pPr>
              <w:pStyle w:val="BulletTableau"/>
              <w:framePr w:hSpace="0" w:wrap="auto" w:vAnchor="margin" w:hAnchor="text" w:yAlign="inline"/>
              <w:spacing w:beforeLines="0" w:before="20" w:afterLines="0"/>
              <w:ind w:hanging="357"/>
              <w:jc w:val="left"/>
              <w:rPr>
                <w:rFonts w:ascii="Montserrat SemiBold" w:hAnsi="Montserrat SemiBold" w:cs="Open Sans"/>
                <w:lang w:val="fr-FR"/>
              </w:rPr>
            </w:pPr>
            <w:r w:rsidRPr="6838ACE2">
              <w:rPr>
                <w:rFonts w:ascii="Montserrat SemiBold" w:hAnsi="Montserrat SemiBold" w:cs="Open Sans"/>
                <w:lang w:val="fr-FR"/>
              </w:rPr>
              <w:lastRenderedPageBreak/>
              <w:t>Dans le cas d</w:t>
            </w:r>
            <w:r w:rsidR="00D57539" w:rsidRPr="6838ACE2">
              <w:rPr>
                <w:rFonts w:ascii="Montserrat SemiBold" w:hAnsi="Montserrat SemiBold" w:cs="Open Sans"/>
                <w:lang w:val="fr-FR"/>
              </w:rPr>
              <w:t>’</w:t>
            </w:r>
            <w:r w:rsidRPr="6838ACE2">
              <w:rPr>
                <w:rFonts w:ascii="Montserrat SemiBold" w:hAnsi="Montserrat SemiBold" w:cs="Open Sans"/>
                <w:lang w:val="fr-FR"/>
              </w:rPr>
              <w:t>un groupe de bénéficiaires gérant un</w:t>
            </w:r>
            <w:r w:rsidR="7D6519F4" w:rsidRPr="6838ACE2">
              <w:rPr>
                <w:rFonts w:ascii="Montserrat SemiBold" w:hAnsi="Montserrat SemiBold" w:cs="Open Sans"/>
                <w:lang w:val="fr-FR"/>
              </w:rPr>
              <w:t>e</w:t>
            </w:r>
            <w:r w:rsidRPr="6838ACE2">
              <w:rPr>
                <w:rFonts w:ascii="Montserrat SemiBold" w:hAnsi="Montserrat SemiBold" w:cs="Open Sans"/>
                <w:lang w:val="fr-FR"/>
              </w:rPr>
              <w:t xml:space="preserve"> ME</w:t>
            </w:r>
          </w:p>
        </w:tc>
      </w:tr>
      <w:tr w:rsidR="00126BC4" w:rsidRPr="00950511" w14:paraId="78944D57" w14:textId="77777777" w:rsidTr="00315B1B">
        <w:trPr>
          <w:jc w:val="center"/>
        </w:trPr>
        <w:tc>
          <w:tcPr>
            <w:tcW w:w="952" w:type="pct"/>
            <w:shd w:val="clear" w:color="auto" w:fill="BFBFBF" w:themeFill="background1" w:themeFillShade="BF"/>
          </w:tcPr>
          <w:p w14:paraId="440E4D07" w14:textId="7C608DE1" w:rsidR="00126BC4" w:rsidRPr="00950511" w:rsidRDefault="006A2155"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Conflit entre les membres du groupe/désintégration ou séparation du groupe.</w:t>
            </w:r>
          </w:p>
        </w:tc>
        <w:tc>
          <w:tcPr>
            <w:tcW w:w="409" w:type="pct"/>
            <w:shd w:val="clear" w:color="auto" w:fill="FFFFFF" w:themeFill="background1"/>
            <w:vAlign w:val="center"/>
          </w:tcPr>
          <w:p w14:paraId="73ADE719" w14:textId="77777777" w:rsidR="00126BC4" w:rsidRPr="00950511" w:rsidRDefault="00126BC4" w:rsidP="00126BC4">
            <w:pPr>
              <w:jc w:val="center"/>
              <w:rPr>
                <w:rFonts w:ascii="Open Sans" w:hAnsi="Open Sans" w:cs="Open Sans"/>
                <w:bCs/>
                <w:sz w:val="20"/>
                <w:szCs w:val="20"/>
                <w:lang w:val="fr-FR"/>
              </w:rPr>
            </w:pPr>
          </w:p>
        </w:tc>
        <w:tc>
          <w:tcPr>
            <w:tcW w:w="435" w:type="pct"/>
            <w:shd w:val="clear" w:color="auto" w:fill="FFFFFF" w:themeFill="background1"/>
            <w:vAlign w:val="center"/>
          </w:tcPr>
          <w:p w14:paraId="718796F3" w14:textId="77777777" w:rsidR="00126BC4" w:rsidRPr="00950511" w:rsidRDefault="00126BC4" w:rsidP="00F34203">
            <w:pPr>
              <w:spacing w:after="0"/>
              <w:ind w:left="-46"/>
              <w:rPr>
                <w:rFonts w:ascii="Open Sans" w:hAnsi="Open Sans" w:cs="Open Sans"/>
                <w:sz w:val="20"/>
                <w:szCs w:val="20"/>
                <w:lang w:val="fr-FR"/>
              </w:rPr>
            </w:pPr>
          </w:p>
        </w:tc>
        <w:tc>
          <w:tcPr>
            <w:tcW w:w="3204" w:type="pct"/>
          </w:tcPr>
          <w:p w14:paraId="40E31BDC" w14:textId="330D618F" w:rsidR="006A2155"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Conseillez et résolvez les problèmes rencontrés par les membres du groupe avec la participation du CEA et d</w:t>
            </w:r>
            <w:r w:rsidR="00D57539" w:rsidRPr="00950511">
              <w:rPr>
                <w:rFonts w:ascii="Open Sans" w:hAnsi="Open Sans" w:cs="Open Sans"/>
                <w:sz w:val="18"/>
                <w:szCs w:val="18"/>
                <w:lang w:val="fr-FR"/>
              </w:rPr>
              <w:t>’</w:t>
            </w:r>
            <w:r w:rsidRPr="00950511">
              <w:rPr>
                <w:rFonts w:ascii="Open Sans" w:hAnsi="Open Sans" w:cs="Open Sans"/>
                <w:sz w:val="18"/>
                <w:szCs w:val="18"/>
                <w:lang w:val="fr-FR"/>
              </w:rPr>
              <w:t>autres parties prenantes.</w:t>
            </w:r>
          </w:p>
          <w:p w14:paraId="22460A7C" w14:textId="554DC070" w:rsidR="006A2155"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 xml:space="preserve">Gouvernez par le biais </w:t>
            </w:r>
            <w:r w:rsidR="0038477B" w:rsidRPr="00950511">
              <w:rPr>
                <w:rFonts w:ascii="Open Sans" w:hAnsi="Open Sans" w:cs="Open Sans"/>
                <w:sz w:val="18"/>
                <w:szCs w:val="18"/>
                <w:lang w:val="fr-FR"/>
              </w:rPr>
              <w:t>de statuts</w:t>
            </w:r>
            <w:r w:rsidRPr="00950511">
              <w:rPr>
                <w:rFonts w:ascii="Open Sans" w:hAnsi="Open Sans" w:cs="Open Sans"/>
                <w:sz w:val="18"/>
                <w:szCs w:val="18"/>
                <w:lang w:val="fr-FR"/>
              </w:rPr>
              <w:t xml:space="preserve"> de groupe pour prendre des mesures, renforcer le comité et poursuivre le mentorat et l</w:t>
            </w:r>
            <w:r w:rsidR="00D57539" w:rsidRPr="00950511">
              <w:rPr>
                <w:rFonts w:ascii="Open Sans" w:hAnsi="Open Sans" w:cs="Open Sans"/>
                <w:sz w:val="18"/>
                <w:szCs w:val="18"/>
                <w:lang w:val="fr-FR"/>
              </w:rPr>
              <w:t>’</w:t>
            </w:r>
            <w:r w:rsidRPr="00950511">
              <w:rPr>
                <w:rFonts w:ascii="Open Sans" w:hAnsi="Open Sans" w:cs="Open Sans"/>
                <w:sz w:val="18"/>
                <w:szCs w:val="18"/>
                <w:lang w:val="fr-FR"/>
              </w:rPr>
              <w:t>encadrement.</w:t>
            </w:r>
          </w:p>
          <w:p w14:paraId="67952CDF" w14:textId="210ECF3A" w:rsidR="00126BC4"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Un suivi et un soutien solides.</w:t>
            </w:r>
          </w:p>
          <w:p w14:paraId="79B6E5A1" w14:textId="1B5F2AF0" w:rsidR="00126BC4" w:rsidRPr="00950511" w:rsidRDefault="006A2155"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Formation à la résolution des conflits.</w:t>
            </w:r>
            <w:r w:rsidR="00126BC4" w:rsidRPr="00950511">
              <w:rPr>
                <w:rFonts w:ascii="Open Sans" w:hAnsi="Open Sans" w:cs="Open Sans"/>
                <w:sz w:val="18"/>
                <w:szCs w:val="18"/>
                <w:lang w:val="fr-FR"/>
              </w:rPr>
              <w:t xml:space="preserve"> </w:t>
            </w:r>
          </w:p>
        </w:tc>
      </w:tr>
      <w:tr w:rsidR="00126BC4" w:rsidRPr="00950511" w14:paraId="7302DAA0" w14:textId="77777777" w:rsidTr="00315B1B">
        <w:trPr>
          <w:jc w:val="center"/>
        </w:trPr>
        <w:tc>
          <w:tcPr>
            <w:tcW w:w="952" w:type="pct"/>
            <w:shd w:val="clear" w:color="auto" w:fill="BFBFBF" w:themeFill="background1" w:themeFillShade="BF"/>
          </w:tcPr>
          <w:p w14:paraId="6C680C8C" w14:textId="6FD331AD" w:rsidR="00126BC4" w:rsidRPr="00950511" w:rsidRDefault="006A2155"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Membre du groupe qui ne participe pas aux activités du groupe conformément au règlement/plan.</w:t>
            </w:r>
          </w:p>
        </w:tc>
        <w:tc>
          <w:tcPr>
            <w:tcW w:w="409" w:type="pct"/>
            <w:shd w:val="clear" w:color="auto" w:fill="FFFFFF" w:themeFill="background1"/>
            <w:vAlign w:val="center"/>
          </w:tcPr>
          <w:p w14:paraId="6EB64022" w14:textId="77777777" w:rsidR="00126BC4" w:rsidRPr="00950511" w:rsidRDefault="00126BC4" w:rsidP="00126BC4">
            <w:pPr>
              <w:jc w:val="center"/>
              <w:rPr>
                <w:rFonts w:ascii="Open Sans" w:hAnsi="Open Sans" w:cs="Open Sans"/>
                <w:bCs/>
                <w:sz w:val="20"/>
                <w:szCs w:val="20"/>
                <w:lang w:val="fr-FR"/>
              </w:rPr>
            </w:pPr>
          </w:p>
        </w:tc>
        <w:tc>
          <w:tcPr>
            <w:tcW w:w="435" w:type="pct"/>
            <w:shd w:val="clear" w:color="auto" w:fill="FFFFFF" w:themeFill="background1"/>
            <w:vAlign w:val="center"/>
          </w:tcPr>
          <w:p w14:paraId="60C73A22" w14:textId="77777777" w:rsidR="00126BC4" w:rsidRPr="00950511" w:rsidRDefault="00126BC4" w:rsidP="00F34203">
            <w:pPr>
              <w:spacing w:after="0"/>
              <w:ind w:left="-46"/>
              <w:rPr>
                <w:rFonts w:ascii="Open Sans" w:hAnsi="Open Sans" w:cs="Open Sans"/>
                <w:sz w:val="20"/>
                <w:szCs w:val="20"/>
                <w:lang w:val="fr-FR"/>
              </w:rPr>
            </w:pPr>
          </w:p>
        </w:tc>
        <w:tc>
          <w:tcPr>
            <w:tcW w:w="3204" w:type="pct"/>
          </w:tcPr>
          <w:p w14:paraId="560E05D7" w14:textId="337E56E7" w:rsidR="00126BC4" w:rsidRPr="00950511" w:rsidRDefault="00126BC4" w:rsidP="00E22D55">
            <w:pPr>
              <w:pStyle w:val="Prrafodelista"/>
              <w:numPr>
                <w:ilvl w:val="0"/>
                <w:numId w:val="6"/>
              </w:numPr>
              <w:spacing w:after="240"/>
              <w:ind w:left="317" w:hanging="284"/>
              <w:rPr>
                <w:rFonts w:ascii="Open Sans" w:hAnsi="Open Sans" w:cs="Open Sans"/>
                <w:sz w:val="18"/>
                <w:szCs w:val="18"/>
                <w:lang w:val="fr-FR"/>
              </w:rPr>
            </w:pPr>
            <w:r w:rsidRPr="7E553342">
              <w:rPr>
                <w:rFonts w:ascii="Open Sans" w:hAnsi="Open Sans" w:cs="Open Sans"/>
                <w:sz w:val="18"/>
                <w:szCs w:val="18"/>
                <w:lang w:val="fr-FR"/>
              </w:rPr>
              <w:t xml:space="preserve"> </w:t>
            </w:r>
            <w:r w:rsidR="006A2155" w:rsidRPr="7E553342">
              <w:rPr>
                <w:rFonts w:ascii="Open Sans" w:hAnsi="Open Sans" w:cs="Open Sans"/>
                <w:sz w:val="18"/>
                <w:szCs w:val="18"/>
                <w:lang w:val="fr-FR"/>
              </w:rPr>
              <w:t xml:space="preserve">Suivi, consultation et sanctions en fonction </w:t>
            </w:r>
            <w:r w:rsidR="009C28A2" w:rsidRPr="7E553342">
              <w:rPr>
                <w:rFonts w:ascii="Open Sans" w:hAnsi="Open Sans" w:cs="Open Sans"/>
                <w:sz w:val="18"/>
                <w:szCs w:val="18"/>
                <w:lang w:val="fr-FR"/>
              </w:rPr>
              <w:t>des statuts</w:t>
            </w:r>
            <w:r w:rsidR="006A2155" w:rsidRPr="7E553342">
              <w:rPr>
                <w:rFonts w:ascii="Open Sans" w:hAnsi="Open Sans" w:cs="Open Sans"/>
                <w:sz w:val="18"/>
                <w:szCs w:val="18"/>
                <w:lang w:val="fr-FR"/>
              </w:rPr>
              <w:t xml:space="preserve"> </w:t>
            </w:r>
            <w:r w:rsidR="5AADBEEC" w:rsidRPr="7E553342">
              <w:rPr>
                <w:rFonts w:ascii="Open Sans" w:hAnsi="Open Sans" w:cs="Open Sans"/>
                <w:sz w:val="18"/>
                <w:szCs w:val="18"/>
                <w:lang w:val="fr-FR"/>
              </w:rPr>
              <w:t>déjà</w:t>
            </w:r>
            <w:r w:rsidR="006A2155" w:rsidRPr="7E553342">
              <w:rPr>
                <w:rFonts w:ascii="Open Sans" w:hAnsi="Open Sans" w:cs="Open Sans"/>
                <w:sz w:val="18"/>
                <w:szCs w:val="18"/>
                <w:lang w:val="fr-FR"/>
              </w:rPr>
              <w:t xml:space="preserve"> accepté</w:t>
            </w:r>
            <w:r w:rsidR="009C28A2" w:rsidRPr="7E553342">
              <w:rPr>
                <w:rFonts w:ascii="Open Sans" w:hAnsi="Open Sans" w:cs="Open Sans"/>
                <w:sz w:val="18"/>
                <w:szCs w:val="18"/>
                <w:lang w:val="fr-FR"/>
              </w:rPr>
              <w:t>s</w:t>
            </w:r>
            <w:r w:rsidR="006A2155" w:rsidRPr="7E553342">
              <w:rPr>
                <w:rFonts w:ascii="Open Sans" w:hAnsi="Open Sans" w:cs="Open Sans"/>
                <w:sz w:val="18"/>
                <w:szCs w:val="18"/>
                <w:lang w:val="fr-FR"/>
              </w:rPr>
              <w:t xml:space="preserve"> et signé</w:t>
            </w:r>
            <w:r w:rsidR="009C28A2" w:rsidRPr="7E553342">
              <w:rPr>
                <w:rFonts w:ascii="Open Sans" w:hAnsi="Open Sans" w:cs="Open Sans"/>
                <w:sz w:val="18"/>
                <w:szCs w:val="18"/>
                <w:lang w:val="fr-FR"/>
              </w:rPr>
              <w:t>s.</w:t>
            </w:r>
          </w:p>
        </w:tc>
      </w:tr>
      <w:tr w:rsidR="00126BC4" w:rsidRPr="00950511" w14:paraId="47232018" w14:textId="77777777" w:rsidTr="00315B1B">
        <w:trPr>
          <w:jc w:val="center"/>
        </w:trPr>
        <w:tc>
          <w:tcPr>
            <w:tcW w:w="952" w:type="pct"/>
            <w:shd w:val="clear" w:color="auto" w:fill="BFBFBF" w:themeFill="background1" w:themeFillShade="BF"/>
          </w:tcPr>
          <w:p w14:paraId="4F8A1DF1" w14:textId="4084F2AC" w:rsidR="00126BC4" w:rsidRPr="00950511" w:rsidRDefault="006A2155"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7E553342">
              <w:rPr>
                <w:rFonts w:ascii="Montserrat SemiBold" w:hAnsi="Montserrat SemiBold" w:cs="Open Sans"/>
                <w:color w:val="FFFFFF" w:themeColor="background1"/>
                <w:sz w:val="18"/>
                <w:szCs w:val="18"/>
                <w:lang w:val="fr-FR"/>
              </w:rPr>
              <w:t>Le bénéficiaire quitte le groupe.</w:t>
            </w:r>
          </w:p>
        </w:tc>
        <w:tc>
          <w:tcPr>
            <w:tcW w:w="409" w:type="pct"/>
            <w:shd w:val="clear" w:color="auto" w:fill="FFFFFF" w:themeFill="background1"/>
            <w:vAlign w:val="center"/>
          </w:tcPr>
          <w:p w14:paraId="00AB7D19" w14:textId="77777777" w:rsidR="00126BC4" w:rsidRPr="00950511" w:rsidRDefault="00126BC4" w:rsidP="00126BC4">
            <w:pPr>
              <w:jc w:val="center"/>
              <w:rPr>
                <w:rFonts w:ascii="Open Sans" w:hAnsi="Open Sans" w:cs="Open Sans"/>
                <w:bCs/>
                <w:sz w:val="20"/>
                <w:szCs w:val="20"/>
                <w:lang w:val="fr-FR"/>
              </w:rPr>
            </w:pPr>
          </w:p>
        </w:tc>
        <w:tc>
          <w:tcPr>
            <w:tcW w:w="435" w:type="pct"/>
            <w:shd w:val="clear" w:color="auto" w:fill="FFFFFF" w:themeFill="background1"/>
            <w:vAlign w:val="center"/>
          </w:tcPr>
          <w:p w14:paraId="4DEAD3B1" w14:textId="77777777" w:rsidR="00126BC4" w:rsidRPr="00950511" w:rsidRDefault="00126BC4" w:rsidP="00F34203">
            <w:pPr>
              <w:spacing w:after="0"/>
              <w:ind w:left="-46"/>
              <w:rPr>
                <w:rFonts w:ascii="Open Sans" w:hAnsi="Open Sans" w:cs="Open Sans"/>
                <w:sz w:val="20"/>
                <w:szCs w:val="20"/>
                <w:lang w:val="fr-FR"/>
              </w:rPr>
            </w:pPr>
          </w:p>
        </w:tc>
        <w:tc>
          <w:tcPr>
            <w:tcW w:w="3204" w:type="pct"/>
          </w:tcPr>
          <w:p w14:paraId="44C7FC34" w14:textId="0C31603D" w:rsidR="00F34203" w:rsidRPr="00950511" w:rsidRDefault="00126BC4" w:rsidP="00E22D55">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 xml:space="preserve"> </w:t>
            </w:r>
            <w:r w:rsidR="006A2155" w:rsidRPr="00950511">
              <w:rPr>
                <w:rFonts w:ascii="Open Sans" w:hAnsi="Open Sans" w:cs="Open Sans"/>
                <w:sz w:val="18"/>
                <w:szCs w:val="18"/>
                <w:lang w:val="fr-FR"/>
              </w:rPr>
              <w:t>Remplacement par d</w:t>
            </w:r>
            <w:r w:rsidR="00D57539" w:rsidRPr="00950511">
              <w:rPr>
                <w:rFonts w:ascii="Open Sans" w:hAnsi="Open Sans" w:cs="Open Sans"/>
                <w:sz w:val="18"/>
                <w:szCs w:val="18"/>
                <w:lang w:val="fr-FR"/>
              </w:rPr>
              <w:t>’</w:t>
            </w:r>
            <w:r w:rsidR="006A2155" w:rsidRPr="00950511">
              <w:rPr>
                <w:rFonts w:ascii="Open Sans" w:hAnsi="Open Sans" w:cs="Open Sans"/>
                <w:sz w:val="18"/>
                <w:szCs w:val="18"/>
                <w:lang w:val="fr-FR"/>
              </w:rPr>
              <w:t xml:space="preserve">autres en fonction de la notation et </w:t>
            </w:r>
            <w:r w:rsidR="009C28A2" w:rsidRPr="00950511">
              <w:rPr>
                <w:rFonts w:ascii="Open Sans" w:hAnsi="Open Sans" w:cs="Open Sans"/>
                <w:sz w:val="18"/>
                <w:szCs w:val="18"/>
                <w:lang w:val="fr-FR"/>
              </w:rPr>
              <w:t>des statuts</w:t>
            </w:r>
            <w:r w:rsidR="006A2155" w:rsidRPr="00950511">
              <w:rPr>
                <w:rFonts w:ascii="Open Sans" w:hAnsi="Open Sans" w:cs="Open Sans"/>
                <w:sz w:val="18"/>
                <w:szCs w:val="18"/>
                <w:lang w:val="fr-FR"/>
              </w:rPr>
              <w:t xml:space="preserve"> en vigueur.</w:t>
            </w:r>
          </w:p>
        </w:tc>
      </w:tr>
      <w:tr w:rsidR="009048D4" w:rsidRPr="00950511" w14:paraId="6C6BFEEA" w14:textId="77777777" w:rsidTr="6838ACE2">
        <w:trPr>
          <w:trHeight w:val="399"/>
          <w:jc w:val="center"/>
        </w:trPr>
        <w:tc>
          <w:tcPr>
            <w:tcW w:w="5000" w:type="pct"/>
            <w:gridSpan w:val="4"/>
            <w:shd w:val="clear" w:color="auto" w:fill="F2F2F2" w:themeFill="background1" w:themeFillShade="F2"/>
          </w:tcPr>
          <w:p w14:paraId="27E7386A" w14:textId="54966D2E" w:rsidR="009048D4" w:rsidRPr="00950511" w:rsidRDefault="006A2155" w:rsidP="00686B43">
            <w:pPr>
              <w:spacing w:after="0"/>
              <w:rPr>
                <w:rFonts w:ascii="Montserrat SemiBold" w:hAnsi="Montserrat SemiBold" w:cs="Open Sans"/>
                <w:sz w:val="20"/>
                <w:szCs w:val="20"/>
                <w:lang w:val="fr-FR"/>
              </w:rPr>
            </w:pPr>
            <w:r w:rsidRPr="00950511">
              <w:rPr>
                <w:rFonts w:ascii="Montserrat SemiBold" w:hAnsi="Montserrat SemiBold"/>
                <w:lang w:val="fr-FR"/>
              </w:rPr>
              <w:t>Risques institutionnels (risques financiers et stratégiques et risques pour la réputation)</w:t>
            </w:r>
          </w:p>
        </w:tc>
      </w:tr>
      <w:tr w:rsidR="00796A25" w:rsidRPr="00950511" w14:paraId="41B903BA" w14:textId="77777777" w:rsidTr="00315B1B">
        <w:trPr>
          <w:jc w:val="center"/>
        </w:trPr>
        <w:tc>
          <w:tcPr>
            <w:tcW w:w="952" w:type="pct"/>
            <w:shd w:val="clear" w:color="auto" w:fill="A6A6A6" w:themeFill="background1" w:themeFillShade="A6"/>
            <w:vAlign w:val="center"/>
          </w:tcPr>
          <w:p w14:paraId="23F2BFC7" w14:textId="37D1CCC5" w:rsidR="00796A25" w:rsidRPr="00950511" w:rsidRDefault="006A215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Risques liés à la redevabilité, à la fraude et à la corruption</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auto"/>
          </w:tcPr>
          <w:p w14:paraId="32B3F043" w14:textId="77777777" w:rsidR="00796A25" w:rsidRPr="00950511" w:rsidRDefault="00796A25" w:rsidP="00796A25">
            <w:pPr>
              <w:jc w:val="center"/>
              <w:rPr>
                <w:rFonts w:ascii="Open Sans" w:hAnsi="Open Sans" w:cs="Open Sans"/>
                <w:bCs/>
                <w:sz w:val="20"/>
                <w:szCs w:val="20"/>
                <w:lang w:val="fr-FR"/>
              </w:rPr>
            </w:pPr>
          </w:p>
        </w:tc>
        <w:tc>
          <w:tcPr>
            <w:tcW w:w="435" w:type="pct"/>
            <w:shd w:val="clear" w:color="auto" w:fill="auto"/>
            <w:vAlign w:val="center"/>
          </w:tcPr>
          <w:p w14:paraId="3C15124E" w14:textId="77777777" w:rsidR="00796A25" w:rsidRPr="00950511" w:rsidRDefault="00796A25" w:rsidP="00796A25">
            <w:pPr>
              <w:spacing w:after="0"/>
              <w:ind w:left="-46"/>
              <w:rPr>
                <w:rFonts w:ascii="Open Sans" w:hAnsi="Open Sans" w:cs="Open Sans"/>
                <w:sz w:val="20"/>
                <w:szCs w:val="20"/>
                <w:lang w:val="fr-FR"/>
              </w:rPr>
            </w:pPr>
          </w:p>
        </w:tc>
        <w:tc>
          <w:tcPr>
            <w:tcW w:w="3204" w:type="pct"/>
            <w:shd w:val="clear" w:color="auto" w:fill="auto"/>
            <w:vAlign w:val="center"/>
          </w:tcPr>
          <w:p w14:paraId="705C5562" w14:textId="337E37D1" w:rsidR="006A2155" w:rsidRPr="00950511" w:rsidRDefault="006A2155" w:rsidP="006A2155">
            <w:pPr>
              <w:pStyle w:val="Prrafodelista"/>
              <w:framePr w:hSpace="141" w:wrap="around" w:vAnchor="text" w:hAnchor="margin" w:y="402"/>
              <w:numPr>
                <w:ilvl w:val="0"/>
                <w:numId w:val="6"/>
              </w:numPr>
              <w:spacing w:after="240"/>
              <w:ind w:left="395"/>
              <w:rPr>
                <w:rFonts w:ascii="Open Sans" w:hAnsi="Open Sans" w:cs="Open Sans"/>
                <w:sz w:val="18"/>
                <w:szCs w:val="18"/>
                <w:lang w:val="fr-FR"/>
              </w:rPr>
            </w:pPr>
            <w:r w:rsidRPr="00950511">
              <w:rPr>
                <w:rFonts w:ascii="Open Sans" w:hAnsi="Open Sans" w:cs="Open Sans"/>
                <w:sz w:val="18"/>
                <w:szCs w:val="18"/>
                <w:lang w:val="fr-FR"/>
              </w:rPr>
              <w:t>Assurez-vous que les transactions financières sont sécurisées.</w:t>
            </w:r>
          </w:p>
          <w:p w14:paraId="214492E7" w14:textId="4B033BB0" w:rsidR="006A2155" w:rsidRPr="00950511" w:rsidRDefault="006A2155" w:rsidP="006A2155">
            <w:pPr>
              <w:pStyle w:val="Prrafodelista"/>
              <w:framePr w:hSpace="141" w:wrap="around" w:vAnchor="text" w:hAnchor="margin" w:y="402"/>
              <w:numPr>
                <w:ilvl w:val="0"/>
                <w:numId w:val="6"/>
              </w:numPr>
              <w:spacing w:after="240"/>
              <w:ind w:left="395"/>
              <w:rPr>
                <w:rFonts w:ascii="Open Sans" w:hAnsi="Open Sans" w:cs="Open Sans"/>
                <w:sz w:val="18"/>
                <w:szCs w:val="18"/>
                <w:lang w:val="fr-FR"/>
              </w:rPr>
            </w:pPr>
            <w:r w:rsidRPr="00950511">
              <w:rPr>
                <w:rFonts w:ascii="Open Sans" w:hAnsi="Open Sans" w:cs="Open Sans"/>
                <w:sz w:val="18"/>
                <w:szCs w:val="18"/>
                <w:lang w:val="fr-FR"/>
              </w:rPr>
              <w:t>Identifiez toute possibilité de fraude à grande échelle.</w:t>
            </w:r>
          </w:p>
          <w:p w14:paraId="0F6C1D9F" w14:textId="3F0B33FD" w:rsidR="00796A25" w:rsidRPr="00950511" w:rsidRDefault="006A2155" w:rsidP="006A2155">
            <w:pPr>
              <w:pStyle w:val="Prrafodelista"/>
              <w:framePr w:hSpace="141" w:wrap="around" w:vAnchor="text" w:hAnchor="margin" w:y="402"/>
              <w:numPr>
                <w:ilvl w:val="0"/>
                <w:numId w:val="6"/>
              </w:numPr>
              <w:spacing w:after="240"/>
              <w:ind w:left="395"/>
              <w:rPr>
                <w:rFonts w:ascii="Open Sans" w:hAnsi="Open Sans" w:cs="Open Sans"/>
                <w:sz w:val="18"/>
                <w:szCs w:val="18"/>
                <w:lang w:val="fr-FR"/>
              </w:rPr>
            </w:pPr>
            <w:r w:rsidRPr="00950511">
              <w:rPr>
                <w:rFonts w:ascii="Open Sans" w:hAnsi="Open Sans" w:cs="Open Sans"/>
                <w:sz w:val="18"/>
                <w:szCs w:val="18"/>
                <w:lang w:val="fr-FR"/>
              </w:rPr>
              <w:t>Identifiez tout risque pour la réputation de l</w:t>
            </w:r>
            <w:r w:rsidR="00D57539" w:rsidRPr="00950511">
              <w:rPr>
                <w:rFonts w:ascii="Open Sans" w:hAnsi="Open Sans" w:cs="Open Sans"/>
                <w:sz w:val="18"/>
                <w:szCs w:val="18"/>
                <w:lang w:val="fr-FR"/>
              </w:rPr>
              <w:t>’</w:t>
            </w:r>
            <w:r w:rsidRPr="00950511">
              <w:rPr>
                <w:rFonts w:ascii="Open Sans" w:hAnsi="Open Sans" w:cs="Open Sans"/>
                <w:sz w:val="18"/>
                <w:szCs w:val="18"/>
                <w:lang w:val="fr-FR"/>
              </w:rPr>
              <w:t>organisation.</w:t>
            </w:r>
          </w:p>
        </w:tc>
      </w:tr>
      <w:tr w:rsidR="00796A25" w:rsidRPr="00950511" w14:paraId="639F3781" w14:textId="77777777" w:rsidTr="00315B1B">
        <w:trPr>
          <w:jc w:val="center"/>
        </w:trPr>
        <w:tc>
          <w:tcPr>
            <w:tcW w:w="952" w:type="pct"/>
            <w:shd w:val="clear" w:color="auto" w:fill="A6A6A6" w:themeFill="background1" w:themeFillShade="A6"/>
            <w:vAlign w:val="center"/>
          </w:tcPr>
          <w:p w14:paraId="308230A9" w14:textId="06A96AA0" w:rsidR="00796A25" w:rsidRPr="00950511" w:rsidRDefault="006A215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bCs/>
                <w:color w:val="FFFFFF" w:themeColor="background1"/>
                <w:sz w:val="18"/>
                <w:szCs w:val="18"/>
                <w:lang w:val="fr-FR" w:eastAsia="en-GB"/>
              </w:rPr>
              <w:t>Risques stratégiques pour la Société nationale</w:t>
            </w:r>
            <w:r w:rsidRPr="00950511">
              <w:rPr>
                <w:rFonts w:ascii="Montserrat SemiBold" w:hAnsi="Montserrat SemiBold"/>
                <w:color w:val="FFFFFF" w:themeColor="background1"/>
                <w:sz w:val="18"/>
                <w:szCs w:val="18"/>
                <w:lang w:val="fr-FR" w:eastAsia="en-GB"/>
              </w:rPr>
              <w:t>/le Mouvement</w:t>
            </w:r>
            <w:r w:rsidR="00027671" w:rsidRPr="00950511">
              <w:rPr>
                <w:rFonts w:ascii="Montserrat SemiBold" w:hAnsi="Montserrat SemiBold"/>
                <w:color w:val="FFFFFF" w:themeColor="background1"/>
                <w:sz w:val="18"/>
                <w:szCs w:val="18"/>
                <w:lang w:val="fr-FR" w:eastAsia="en-GB"/>
              </w:rPr>
              <w:t>.</w:t>
            </w:r>
          </w:p>
        </w:tc>
        <w:tc>
          <w:tcPr>
            <w:tcW w:w="409" w:type="pct"/>
            <w:shd w:val="clear" w:color="auto" w:fill="auto"/>
          </w:tcPr>
          <w:p w14:paraId="0D91A0D5" w14:textId="77777777" w:rsidR="00796A25" w:rsidRPr="00950511" w:rsidRDefault="00796A25" w:rsidP="00796A25">
            <w:pPr>
              <w:jc w:val="center"/>
              <w:rPr>
                <w:rFonts w:ascii="Open Sans" w:hAnsi="Open Sans" w:cs="Open Sans"/>
                <w:bCs/>
                <w:sz w:val="20"/>
                <w:szCs w:val="20"/>
                <w:lang w:val="fr-FR"/>
              </w:rPr>
            </w:pPr>
          </w:p>
        </w:tc>
        <w:tc>
          <w:tcPr>
            <w:tcW w:w="435" w:type="pct"/>
            <w:shd w:val="clear" w:color="auto" w:fill="auto"/>
            <w:vAlign w:val="center"/>
          </w:tcPr>
          <w:p w14:paraId="26D3D243" w14:textId="77777777" w:rsidR="00796A25" w:rsidRPr="00950511" w:rsidRDefault="00796A25" w:rsidP="00796A25">
            <w:pPr>
              <w:spacing w:after="0"/>
              <w:ind w:left="-46"/>
              <w:rPr>
                <w:rFonts w:ascii="Open Sans" w:hAnsi="Open Sans" w:cs="Open Sans"/>
                <w:sz w:val="20"/>
                <w:szCs w:val="20"/>
                <w:lang w:val="fr-FR"/>
              </w:rPr>
            </w:pPr>
          </w:p>
        </w:tc>
        <w:tc>
          <w:tcPr>
            <w:tcW w:w="3204" w:type="pct"/>
            <w:shd w:val="clear" w:color="auto" w:fill="auto"/>
            <w:vAlign w:val="center"/>
          </w:tcPr>
          <w:p w14:paraId="5BF62602" w14:textId="540DFC49" w:rsidR="00D57539" w:rsidRPr="00950511" w:rsidRDefault="00D57539" w:rsidP="009C28A2">
            <w:pPr>
              <w:pStyle w:val="BulletTableau"/>
              <w:framePr w:hSpace="0" w:wrap="auto" w:vAnchor="margin" w:hAnchor="text" w:yAlign="inline"/>
              <w:spacing w:beforeLines="0" w:before="0" w:afterLines="0" w:after="240"/>
              <w:ind w:left="391" w:hanging="357"/>
              <w:contextualSpacing/>
              <w:jc w:val="left"/>
              <w:rPr>
                <w:rFonts w:ascii="Open Sans" w:hAnsi="Open Sans" w:cs="Open Sans"/>
                <w:sz w:val="18"/>
                <w:szCs w:val="18"/>
                <w:lang w:val="fr-FR"/>
              </w:rPr>
            </w:pPr>
            <w:r w:rsidRPr="00950511">
              <w:rPr>
                <w:rFonts w:ascii="Open Sans" w:hAnsi="Open Sans" w:cs="Open Sans"/>
                <w:sz w:val="18"/>
                <w:szCs w:val="18"/>
                <w:lang w:val="fr-FR"/>
              </w:rPr>
              <w:t>Veillez à ce que le projet de ME soient conformes aux réglementations nationales.</w:t>
            </w:r>
          </w:p>
          <w:p w14:paraId="379468A4" w14:textId="7C5FB423" w:rsidR="00D57539" w:rsidRPr="00950511" w:rsidRDefault="00D57539" w:rsidP="009C28A2">
            <w:pPr>
              <w:pStyle w:val="BulletTableau"/>
              <w:framePr w:hSpace="0" w:wrap="auto" w:vAnchor="margin" w:hAnchor="text" w:yAlign="inline"/>
              <w:spacing w:beforeLines="0" w:before="0" w:afterLines="0" w:after="240"/>
              <w:ind w:left="391" w:hanging="357"/>
              <w:contextualSpacing/>
              <w:jc w:val="left"/>
              <w:rPr>
                <w:rFonts w:ascii="Open Sans" w:hAnsi="Open Sans" w:cs="Open Sans"/>
                <w:sz w:val="18"/>
                <w:szCs w:val="18"/>
                <w:lang w:val="fr-FR"/>
              </w:rPr>
            </w:pPr>
            <w:r w:rsidRPr="00950511">
              <w:rPr>
                <w:rFonts w:ascii="Open Sans" w:hAnsi="Open Sans" w:cs="Open Sans"/>
                <w:sz w:val="18"/>
                <w:szCs w:val="18"/>
                <w:lang w:val="fr-FR"/>
              </w:rPr>
              <w:t xml:space="preserve">Communiquez </w:t>
            </w:r>
            <w:r w:rsidR="009C28A2" w:rsidRPr="00950511">
              <w:rPr>
                <w:rFonts w:ascii="Open Sans" w:hAnsi="Open Sans" w:cs="Open Sans"/>
                <w:sz w:val="18"/>
                <w:szCs w:val="18"/>
                <w:lang w:val="fr-FR"/>
              </w:rPr>
              <w:t>l’élaboration</w:t>
            </w:r>
            <w:r w:rsidRPr="00950511">
              <w:rPr>
                <w:rFonts w:ascii="Open Sans" w:hAnsi="Open Sans" w:cs="Open Sans"/>
                <w:sz w:val="18"/>
                <w:szCs w:val="18"/>
                <w:lang w:val="fr-FR"/>
              </w:rPr>
              <w:t xml:space="preserve"> du projet à toutes les personnes concernées.</w:t>
            </w:r>
          </w:p>
          <w:p w14:paraId="273627BD" w14:textId="7A17CBE5" w:rsidR="00796A25" w:rsidRPr="00950511" w:rsidRDefault="009C28A2" w:rsidP="009C28A2">
            <w:pPr>
              <w:pStyle w:val="BulletTableau"/>
              <w:framePr w:hSpace="0" w:wrap="auto" w:vAnchor="margin" w:hAnchor="text" w:yAlign="inline"/>
              <w:spacing w:beforeLines="0" w:before="0" w:afterLines="0" w:after="240"/>
              <w:ind w:left="391" w:hanging="357"/>
              <w:contextualSpacing/>
              <w:jc w:val="left"/>
              <w:rPr>
                <w:rFonts w:ascii="Open Sans" w:hAnsi="Open Sans" w:cs="Open Sans"/>
                <w:sz w:val="18"/>
                <w:szCs w:val="18"/>
                <w:lang w:val="fr-FR"/>
              </w:rPr>
            </w:pPr>
            <w:r w:rsidRPr="00950511">
              <w:rPr>
                <w:rFonts w:ascii="Open Sans" w:hAnsi="Open Sans" w:cs="Open Sans"/>
                <w:sz w:val="18"/>
                <w:szCs w:val="18"/>
                <w:lang w:val="fr-FR"/>
              </w:rPr>
              <w:t>Harmonisez les procédures de contrôle relatives aux transferts monétaires et à l’aide en nature.</w:t>
            </w:r>
          </w:p>
        </w:tc>
      </w:tr>
      <w:tr w:rsidR="00796A25" w:rsidRPr="00950511" w14:paraId="69399950" w14:textId="77777777" w:rsidTr="00315B1B">
        <w:trPr>
          <w:jc w:val="center"/>
        </w:trPr>
        <w:tc>
          <w:tcPr>
            <w:tcW w:w="952" w:type="pct"/>
            <w:shd w:val="clear" w:color="auto" w:fill="A6A6A6" w:themeFill="background1" w:themeFillShade="A6"/>
            <w:vAlign w:val="center"/>
          </w:tcPr>
          <w:p w14:paraId="370659DB" w14:textId="2C6C336C" w:rsidR="00796A25" w:rsidRPr="00950511" w:rsidRDefault="00D57539"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Relation avec les autres acteurs</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auto"/>
          </w:tcPr>
          <w:p w14:paraId="09B1F8E9" w14:textId="77777777" w:rsidR="00796A25" w:rsidRPr="00950511" w:rsidRDefault="00796A25" w:rsidP="00796A25">
            <w:pPr>
              <w:jc w:val="center"/>
              <w:rPr>
                <w:rFonts w:ascii="Open Sans" w:hAnsi="Open Sans" w:cs="Open Sans"/>
                <w:bCs/>
                <w:sz w:val="20"/>
                <w:szCs w:val="20"/>
                <w:lang w:val="fr-FR"/>
              </w:rPr>
            </w:pPr>
          </w:p>
        </w:tc>
        <w:tc>
          <w:tcPr>
            <w:tcW w:w="435" w:type="pct"/>
            <w:shd w:val="clear" w:color="auto" w:fill="auto"/>
            <w:vAlign w:val="center"/>
          </w:tcPr>
          <w:p w14:paraId="0BA6A7AA" w14:textId="77777777" w:rsidR="00796A25" w:rsidRPr="00950511" w:rsidRDefault="00796A25" w:rsidP="00796A25">
            <w:pPr>
              <w:spacing w:after="0"/>
              <w:ind w:left="-46"/>
              <w:rPr>
                <w:rFonts w:ascii="Open Sans" w:hAnsi="Open Sans" w:cs="Open Sans"/>
                <w:sz w:val="20"/>
                <w:szCs w:val="20"/>
                <w:lang w:val="fr-FR"/>
              </w:rPr>
            </w:pPr>
          </w:p>
        </w:tc>
        <w:tc>
          <w:tcPr>
            <w:tcW w:w="3204" w:type="pct"/>
            <w:tcBorders>
              <w:bottom w:val="single" w:sz="4" w:space="0" w:color="auto"/>
            </w:tcBorders>
            <w:shd w:val="clear" w:color="auto" w:fill="auto"/>
            <w:vAlign w:val="center"/>
          </w:tcPr>
          <w:p w14:paraId="137ACDE6" w14:textId="64EEA45F" w:rsidR="00796A25" w:rsidRPr="00950511" w:rsidRDefault="00D57539" w:rsidP="00D57539">
            <w:pPr>
              <w:pStyle w:val="Prrafodelista"/>
              <w:numPr>
                <w:ilvl w:val="0"/>
                <w:numId w:val="6"/>
              </w:numPr>
              <w:spacing w:after="240"/>
              <w:ind w:left="317" w:hanging="284"/>
              <w:rPr>
                <w:rFonts w:ascii="Open Sans" w:hAnsi="Open Sans" w:cs="Open Sans"/>
                <w:sz w:val="18"/>
                <w:szCs w:val="18"/>
                <w:lang w:val="fr-FR"/>
              </w:rPr>
            </w:pPr>
            <w:r w:rsidRPr="00950511">
              <w:rPr>
                <w:rFonts w:ascii="Open Sans" w:hAnsi="Open Sans" w:cs="Open Sans"/>
                <w:sz w:val="18"/>
                <w:szCs w:val="18"/>
                <w:lang w:val="fr-FR"/>
              </w:rPr>
              <w:t>Assurez-vous que les activités de ME sont en cohérence avec celles qui sont menées par d’autres acteurs humanitaires clés (montant du transfert de la subvention, mécanismes de distribution, ciblage, formation, etc.)</w:t>
            </w:r>
          </w:p>
        </w:tc>
      </w:tr>
      <w:tr w:rsidR="00796A25" w:rsidRPr="00950511" w14:paraId="232BE0C9" w14:textId="77777777" w:rsidTr="00315B1B">
        <w:trPr>
          <w:jc w:val="center"/>
        </w:trPr>
        <w:tc>
          <w:tcPr>
            <w:tcW w:w="952" w:type="pct"/>
            <w:shd w:val="clear" w:color="auto" w:fill="A6A6A6" w:themeFill="background1" w:themeFillShade="A6"/>
            <w:vAlign w:val="center"/>
          </w:tcPr>
          <w:p w14:paraId="633859F7" w14:textId="4DFD9205" w:rsidR="00796A25" w:rsidRPr="00950511" w:rsidRDefault="00D57539"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fr-FR"/>
              </w:rPr>
            </w:pPr>
            <w:r w:rsidRPr="00950511">
              <w:rPr>
                <w:rFonts w:ascii="Montserrat SemiBold" w:hAnsi="Montserrat SemiBold" w:cs="Open Sans"/>
                <w:color w:val="FFFFFF" w:themeColor="background1"/>
                <w:sz w:val="18"/>
                <w:szCs w:val="18"/>
                <w:lang w:val="fr-FR"/>
              </w:rPr>
              <w:t>Autres</w:t>
            </w:r>
            <w:r w:rsidR="00027671" w:rsidRPr="00950511">
              <w:rPr>
                <w:rFonts w:ascii="Montserrat SemiBold" w:hAnsi="Montserrat SemiBold" w:cs="Open Sans"/>
                <w:color w:val="FFFFFF" w:themeColor="background1"/>
                <w:sz w:val="18"/>
                <w:szCs w:val="18"/>
                <w:lang w:val="fr-FR"/>
              </w:rPr>
              <w:t>.</w:t>
            </w:r>
          </w:p>
        </w:tc>
        <w:tc>
          <w:tcPr>
            <w:tcW w:w="409" w:type="pct"/>
            <w:shd w:val="clear" w:color="auto" w:fill="auto"/>
            <w:vAlign w:val="center"/>
          </w:tcPr>
          <w:p w14:paraId="03E03B91" w14:textId="77777777" w:rsidR="00796A25" w:rsidRPr="00950511" w:rsidRDefault="00796A25" w:rsidP="00796A25">
            <w:pPr>
              <w:jc w:val="center"/>
              <w:rPr>
                <w:rFonts w:ascii="Open Sans" w:hAnsi="Open Sans" w:cs="Open Sans"/>
                <w:bCs/>
                <w:sz w:val="20"/>
                <w:szCs w:val="20"/>
                <w:lang w:val="fr-FR"/>
              </w:rPr>
            </w:pPr>
          </w:p>
        </w:tc>
        <w:tc>
          <w:tcPr>
            <w:tcW w:w="435" w:type="pct"/>
            <w:shd w:val="clear" w:color="auto" w:fill="auto"/>
            <w:vAlign w:val="center"/>
          </w:tcPr>
          <w:p w14:paraId="4C59CD31" w14:textId="77777777" w:rsidR="00796A25" w:rsidRPr="00950511" w:rsidRDefault="00796A25" w:rsidP="00796A25">
            <w:pPr>
              <w:spacing w:after="0"/>
              <w:ind w:left="-46"/>
              <w:rPr>
                <w:rFonts w:ascii="Open Sans" w:hAnsi="Open Sans" w:cs="Open Sans"/>
                <w:sz w:val="20"/>
                <w:szCs w:val="20"/>
                <w:lang w:val="fr-FR"/>
              </w:rPr>
            </w:pPr>
          </w:p>
        </w:tc>
        <w:tc>
          <w:tcPr>
            <w:tcW w:w="3204" w:type="pct"/>
            <w:shd w:val="clear" w:color="auto" w:fill="auto"/>
            <w:vAlign w:val="center"/>
          </w:tcPr>
          <w:p w14:paraId="2C21AE63" w14:textId="77777777" w:rsidR="00796A25" w:rsidRPr="00950511" w:rsidRDefault="00796A25" w:rsidP="00796A25">
            <w:pPr>
              <w:pStyle w:val="Prrafodelista"/>
              <w:spacing w:after="240"/>
              <w:ind w:left="317"/>
              <w:rPr>
                <w:rFonts w:ascii="Open Sans" w:hAnsi="Open Sans" w:cs="Open Sans"/>
                <w:sz w:val="20"/>
                <w:szCs w:val="20"/>
                <w:lang w:val="fr-FR"/>
              </w:rPr>
            </w:pPr>
          </w:p>
        </w:tc>
      </w:tr>
    </w:tbl>
    <w:bookmarkEnd w:id="0"/>
    <w:p w14:paraId="74AA655F" w14:textId="24F1F22A" w:rsidR="005C01E1" w:rsidRPr="00950511" w:rsidRDefault="00D57539" w:rsidP="00D57539">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6"/>
          <w:szCs w:val="18"/>
          <w:lang w:val="fr-FR"/>
        </w:rPr>
      </w:pPr>
      <w:r w:rsidRPr="00950511">
        <w:rPr>
          <w:sz w:val="18"/>
          <w:lang w:val="fr-FR"/>
        </w:rPr>
        <w:t>Adapté de la Boîte à outils « </w:t>
      </w:r>
      <w:r w:rsidR="00FC730A" w:rsidRPr="00950511">
        <w:rPr>
          <w:sz w:val="18"/>
          <w:lang w:val="fr-FR"/>
        </w:rPr>
        <w:t>T</w:t>
      </w:r>
      <w:r w:rsidRPr="00950511">
        <w:rPr>
          <w:sz w:val="18"/>
          <w:lang w:val="fr-FR"/>
        </w:rPr>
        <w:t>ransferts monétaires en situation d</w:t>
      </w:r>
      <w:r w:rsidR="00FC730A" w:rsidRPr="00950511">
        <w:rPr>
          <w:sz w:val="18"/>
          <w:lang w:val="fr-FR"/>
        </w:rPr>
        <w:t>’</w:t>
      </w:r>
      <w:r w:rsidRPr="00950511">
        <w:rPr>
          <w:sz w:val="18"/>
          <w:lang w:val="fr-FR"/>
        </w:rPr>
        <w:t>urgence », de la FICR, mars 2016.</w:t>
      </w:r>
    </w:p>
    <w:sectPr w:rsidR="005C01E1" w:rsidRPr="00950511" w:rsidSect="00315B1B">
      <w:headerReference w:type="default" r:id="rId11"/>
      <w:footerReference w:type="default" r:id="rId12"/>
      <w:pgSz w:w="16838" w:h="11906" w:orient="landscape"/>
      <w:pgMar w:top="1276" w:right="820" w:bottom="567" w:left="851" w:header="284"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8948" w14:textId="77777777" w:rsidR="005525FA" w:rsidRDefault="005525FA" w:rsidP="00B20F2D">
      <w:pPr>
        <w:spacing w:after="0" w:line="240" w:lineRule="auto"/>
      </w:pPr>
      <w:r>
        <w:separator/>
      </w:r>
    </w:p>
  </w:endnote>
  <w:endnote w:type="continuationSeparator" w:id="0">
    <w:p w14:paraId="7AB46DD9" w14:textId="77777777" w:rsidR="005525FA" w:rsidRDefault="005525FA" w:rsidP="00B2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14:paraId="347C773C" w14:textId="207D90D3" w:rsidR="00D048BD" w:rsidRDefault="00D048BD">
        <w:pPr>
          <w:pStyle w:val="Piedepgina"/>
          <w:jc w:val="right"/>
        </w:pPr>
        <w:r>
          <w:fldChar w:fldCharType="begin"/>
        </w:r>
        <w:r>
          <w:instrText>PAGE   \* MERGEFORMAT</w:instrText>
        </w:r>
        <w:r>
          <w:fldChar w:fldCharType="separate"/>
        </w:r>
        <w:r>
          <w:t>8</w:t>
        </w:r>
        <w:r>
          <w:fldChar w:fldCharType="end"/>
        </w:r>
      </w:p>
    </w:sdtContent>
  </w:sdt>
  <w:p w14:paraId="25F7030D" w14:textId="77777777" w:rsidR="00D048BD" w:rsidRDefault="00D048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ADDF" w14:textId="77777777" w:rsidR="005525FA" w:rsidRDefault="005525FA" w:rsidP="00B20F2D">
      <w:pPr>
        <w:spacing w:after="0" w:line="240" w:lineRule="auto"/>
      </w:pPr>
      <w:r>
        <w:separator/>
      </w:r>
    </w:p>
  </w:footnote>
  <w:footnote w:type="continuationSeparator" w:id="0">
    <w:p w14:paraId="32065385" w14:textId="77777777" w:rsidR="005525FA" w:rsidRDefault="005525FA" w:rsidP="00B2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4C01" w14:textId="67715879" w:rsidR="00D048BD" w:rsidRDefault="00315B1B" w:rsidP="00315B1B">
    <w:pPr>
      <w:pStyle w:val="Encabezado"/>
      <w:jc w:val="right"/>
    </w:pPr>
    <w:r>
      <w:rPr>
        <w:noProof/>
      </w:rPr>
      <w:drawing>
        <wp:inline distT="0" distB="0" distL="0" distR="0" wp14:anchorId="025C17C4" wp14:editId="22086CB5">
          <wp:extent cx="2372360" cy="635635"/>
          <wp:effectExtent l="0" t="0" r="8890" b="0"/>
          <wp:docPr id="8" name="Imagen 8"/>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2372360" cy="635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F65"/>
    <w:multiLevelType w:val="hybridMultilevel"/>
    <w:tmpl w:val="43602202"/>
    <w:lvl w:ilvl="0" w:tplc="0C0A0001">
      <w:start w:val="1"/>
      <w:numFmt w:val="bullet"/>
      <w:lvlText w:val=""/>
      <w:lvlJc w:val="left"/>
      <w:pPr>
        <w:ind w:left="720" w:hanging="360"/>
      </w:pPr>
      <w:rPr>
        <w:rFonts w:ascii="Symbol" w:hAnsi="Symbol" w:hint="default"/>
      </w:rPr>
    </w:lvl>
    <w:lvl w:ilvl="1" w:tplc="158846F2">
      <w:start w:val="1"/>
      <w:numFmt w:val="bullet"/>
      <w:lvlText w:val="-"/>
      <w:lvlJc w:val="left"/>
      <w:pPr>
        <w:ind w:left="1440" w:hanging="360"/>
      </w:pPr>
      <w:rPr>
        <w:rFonts w:ascii="Cambria" w:eastAsiaTheme="minorHAnsi" w:hAnsi="Cambria" w:cstheme="minorBidi"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3" w15:restartNumberingAfterBreak="0">
    <w:nsid w:val="534A0AE0"/>
    <w:multiLevelType w:val="hybridMultilevel"/>
    <w:tmpl w:val="EA241BB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F3BBB"/>
    <w:multiLevelType w:val="hybridMultilevel"/>
    <w:tmpl w:val="56CE9FFE"/>
    <w:lvl w:ilvl="0" w:tplc="A9DE4814">
      <w:start w:val="1"/>
      <w:numFmt w:val="bullet"/>
      <w:pStyle w:val="BulletTableau"/>
      <w:lvlText w:val=""/>
      <w:lvlJc w:val="left"/>
      <w:pPr>
        <w:ind w:left="360" w:hanging="360"/>
      </w:pPr>
      <w:rPr>
        <w:rFonts w:ascii="Symbol" w:hAnsi="Symbol" w:hint="default"/>
        <w:b/>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7" w15:restartNumberingAfterBreak="0">
    <w:nsid w:val="7B705805"/>
    <w:multiLevelType w:val="hybridMultilevel"/>
    <w:tmpl w:val="100E5942"/>
    <w:lvl w:ilvl="0" w:tplc="E542903E">
      <w:start w:val="3"/>
      <w:numFmt w:val="bullet"/>
      <w:lvlText w:val="-"/>
      <w:lvlJc w:val="left"/>
      <w:pPr>
        <w:ind w:left="720" w:hanging="360"/>
      </w:pPr>
      <w:rPr>
        <w:rFonts w:ascii="Arial Narrow" w:eastAsiaTheme="minorHAnsi" w:hAnsi="Arial Narrow" w:cstheme="minorHAns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CC0DBD"/>
    <w:multiLevelType w:val="hybridMultilevel"/>
    <w:tmpl w:val="FA344AD4"/>
    <w:lvl w:ilvl="0" w:tplc="0C0A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8"/>
  </w:num>
  <w:num w:numId="6">
    <w:abstractNumId w:val="3"/>
  </w:num>
  <w:num w:numId="7">
    <w:abstractNumId w:val="4"/>
  </w:num>
  <w:num w:numId="8">
    <w:abstractNumId w:val="5"/>
  </w:num>
  <w:num w:numId="9">
    <w:abstractNumId w:val="7"/>
  </w:num>
  <w:num w:numId="10">
    <w:abstractNumId w:val="4"/>
  </w:num>
  <w:num w:numId="11">
    <w:abstractNumId w:val="4"/>
  </w:num>
  <w:num w:numId="12">
    <w:abstractNumId w:val="4"/>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25F86"/>
    <w:rsid w:val="00027671"/>
    <w:rsid w:val="000310DE"/>
    <w:rsid w:val="00031C07"/>
    <w:rsid w:val="00037747"/>
    <w:rsid w:val="00042B25"/>
    <w:rsid w:val="00043BB7"/>
    <w:rsid w:val="000505F2"/>
    <w:rsid w:val="00050C11"/>
    <w:rsid w:val="0005124D"/>
    <w:rsid w:val="0005560F"/>
    <w:rsid w:val="00056785"/>
    <w:rsid w:val="00056AF1"/>
    <w:rsid w:val="00057817"/>
    <w:rsid w:val="00061686"/>
    <w:rsid w:val="00062188"/>
    <w:rsid w:val="00066977"/>
    <w:rsid w:val="00066B85"/>
    <w:rsid w:val="00070E80"/>
    <w:rsid w:val="000717BC"/>
    <w:rsid w:val="000720FF"/>
    <w:rsid w:val="00072215"/>
    <w:rsid w:val="00076212"/>
    <w:rsid w:val="00082785"/>
    <w:rsid w:val="000842FB"/>
    <w:rsid w:val="0008445E"/>
    <w:rsid w:val="000872EF"/>
    <w:rsid w:val="00087806"/>
    <w:rsid w:val="000933AE"/>
    <w:rsid w:val="000A07C7"/>
    <w:rsid w:val="000A2948"/>
    <w:rsid w:val="000A5966"/>
    <w:rsid w:val="000A5988"/>
    <w:rsid w:val="000A6ABD"/>
    <w:rsid w:val="000B1313"/>
    <w:rsid w:val="000B182D"/>
    <w:rsid w:val="000C0542"/>
    <w:rsid w:val="000C3073"/>
    <w:rsid w:val="000C3778"/>
    <w:rsid w:val="000C4873"/>
    <w:rsid w:val="000C77C8"/>
    <w:rsid w:val="000E260D"/>
    <w:rsid w:val="000E3139"/>
    <w:rsid w:val="000E33D2"/>
    <w:rsid w:val="000E38B5"/>
    <w:rsid w:val="000E3BE1"/>
    <w:rsid w:val="000E3EE9"/>
    <w:rsid w:val="000F0F68"/>
    <w:rsid w:val="000F605E"/>
    <w:rsid w:val="000F722F"/>
    <w:rsid w:val="00101335"/>
    <w:rsid w:val="00102361"/>
    <w:rsid w:val="0010347B"/>
    <w:rsid w:val="00107A5B"/>
    <w:rsid w:val="001101AB"/>
    <w:rsid w:val="00110C2E"/>
    <w:rsid w:val="001115BE"/>
    <w:rsid w:val="0011276C"/>
    <w:rsid w:val="00114C47"/>
    <w:rsid w:val="00117474"/>
    <w:rsid w:val="00122584"/>
    <w:rsid w:val="001239FA"/>
    <w:rsid w:val="00123BFB"/>
    <w:rsid w:val="00123E70"/>
    <w:rsid w:val="00123E98"/>
    <w:rsid w:val="00125E61"/>
    <w:rsid w:val="00126BC4"/>
    <w:rsid w:val="00131244"/>
    <w:rsid w:val="0013554E"/>
    <w:rsid w:val="0013697A"/>
    <w:rsid w:val="00140624"/>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87D6D"/>
    <w:rsid w:val="001926A2"/>
    <w:rsid w:val="0019691A"/>
    <w:rsid w:val="001A024B"/>
    <w:rsid w:val="001A0F74"/>
    <w:rsid w:val="001A1D1A"/>
    <w:rsid w:val="001A3623"/>
    <w:rsid w:val="001A385B"/>
    <w:rsid w:val="001A45BD"/>
    <w:rsid w:val="001A7D70"/>
    <w:rsid w:val="001B0816"/>
    <w:rsid w:val="001B521A"/>
    <w:rsid w:val="001B711B"/>
    <w:rsid w:val="001C2A58"/>
    <w:rsid w:val="001C36C5"/>
    <w:rsid w:val="001C7CE7"/>
    <w:rsid w:val="001D1E37"/>
    <w:rsid w:val="001D697D"/>
    <w:rsid w:val="001D6DE6"/>
    <w:rsid w:val="001E174F"/>
    <w:rsid w:val="001E3185"/>
    <w:rsid w:val="001E31C6"/>
    <w:rsid w:val="001F4D25"/>
    <w:rsid w:val="00200E5E"/>
    <w:rsid w:val="002104B4"/>
    <w:rsid w:val="00210CCD"/>
    <w:rsid w:val="002150D3"/>
    <w:rsid w:val="002151AE"/>
    <w:rsid w:val="00215A77"/>
    <w:rsid w:val="00217DD6"/>
    <w:rsid w:val="00221A54"/>
    <w:rsid w:val="00222BCD"/>
    <w:rsid w:val="00223C75"/>
    <w:rsid w:val="00224944"/>
    <w:rsid w:val="0022504A"/>
    <w:rsid w:val="002307FA"/>
    <w:rsid w:val="00231F7F"/>
    <w:rsid w:val="00232200"/>
    <w:rsid w:val="0024121A"/>
    <w:rsid w:val="00245045"/>
    <w:rsid w:val="00245622"/>
    <w:rsid w:val="002466C2"/>
    <w:rsid w:val="00254FFE"/>
    <w:rsid w:val="00257B76"/>
    <w:rsid w:val="00265BEE"/>
    <w:rsid w:val="002676E4"/>
    <w:rsid w:val="00273DC4"/>
    <w:rsid w:val="00274EF2"/>
    <w:rsid w:val="002860AA"/>
    <w:rsid w:val="002909D7"/>
    <w:rsid w:val="0029507D"/>
    <w:rsid w:val="002A111A"/>
    <w:rsid w:val="002A33FE"/>
    <w:rsid w:val="002A466F"/>
    <w:rsid w:val="002A4AE7"/>
    <w:rsid w:val="002A5491"/>
    <w:rsid w:val="002B5E84"/>
    <w:rsid w:val="002C090F"/>
    <w:rsid w:val="002C2ED3"/>
    <w:rsid w:val="002C50B9"/>
    <w:rsid w:val="002C5864"/>
    <w:rsid w:val="002C5C61"/>
    <w:rsid w:val="002D2402"/>
    <w:rsid w:val="002D2D7F"/>
    <w:rsid w:val="002D3DB0"/>
    <w:rsid w:val="002D5D7A"/>
    <w:rsid w:val="002E2C73"/>
    <w:rsid w:val="002E31D7"/>
    <w:rsid w:val="002E3286"/>
    <w:rsid w:val="002E4E43"/>
    <w:rsid w:val="002E56F9"/>
    <w:rsid w:val="002E5FC8"/>
    <w:rsid w:val="002F09D1"/>
    <w:rsid w:val="002F195E"/>
    <w:rsid w:val="002F34F4"/>
    <w:rsid w:val="002F6B3A"/>
    <w:rsid w:val="00302483"/>
    <w:rsid w:val="00302C63"/>
    <w:rsid w:val="003042D0"/>
    <w:rsid w:val="00305390"/>
    <w:rsid w:val="00305D84"/>
    <w:rsid w:val="00307FA1"/>
    <w:rsid w:val="00310607"/>
    <w:rsid w:val="003115D5"/>
    <w:rsid w:val="00313774"/>
    <w:rsid w:val="003137B4"/>
    <w:rsid w:val="00315B1B"/>
    <w:rsid w:val="00316711"/>
    <w:rsid w:val="00321DBA"/>
    <w:rsid w:val="003327A8"/>
    <w:rsid w:val="00334892"/>
    <w:rsid w:val="00334EEE"/>
    <w:rsid w:val="00336CBE"/>
    <w:rsid w:val="003370BC"/>
    <w:rsid w:val="0034184B"/>
    <w:rsid w:val="00346D33"/>
    <w:rsid w:val="003474A7"/>
    <w:rsid w:val="0035542F"/>
    <w:rsid w:val="00365EAB"/>
    <w:rsid w:val="00365F8D"/>
    <w:rsid w:val="00366316"/>
    <w:rsid w:val="003667D5"/>
    <w:rsid w:val="0037023B"/>
    <w:rsid w:val="00375815"/>
    <w:rsid w:val="00377BAB"/>
    <w:rsid w:val="003839A5"/>
    <w:rsid w:val="0038477B"/>
    <w:rsid w:val="003863F4"/>
    <w:rsid w:val="003867F8"/>
    <w:rsid w:val="00387667"/>
    <w:rsid w:val="003918BE"/>
    <w:rsid w:val="00391B55"/>
    <w:rsid w:val="00395247"/>
    <w:rsid w:val="003954FB"/>
    <w:rsid w:val="003A5B5A"/>
    <w:rsid w:val="003A610F"/>
    <w:rsid w:val="003A7F6D"/>
    <w:rsid w:val="003C0A9A"/>
    <w:rsid w:val="003C0FCB"/>
    <w:rsid w:val="003C135C"/>
    <w:rsid w:val="003C5E7D"/>
    <w:rsid w:val="003D22FF"/>
    <w:rsid w:val="003D2763"/>
    <w:rsid w:val="003D445F"/>
    <w:rsid w:val="003E1059"/>
    <w:rsid w:val="003E1FC5"/>
    <w:rsid w:val="003E3BC3"/>
    <w:rsid w:val="003E51F1"/>
    <w:rsid w:val="003E7A64"/>
    <w:rsid w:val="003F10C2"/>
    <w:rsid w:val="003F682F"/>
    <w:rsid w:val="003F7B0A"/>
    <w:rsid w:val="004045E0"/>
    <w:rsid w:val="004063BD"/>
    <w:rsid w:val="00412E5F"/>
    <w:rsid w:val="004176CA"/>
    <w:rsid w:val="00420D6C"/>
    <w:rsid w:val="004215BC"/>
    <w:rsid w:val="00426F6B"/>
    <w:rsid w:val="0042774A"/>
    <w:rsid w:val="00433608"/>
    <w:rsid w:val="00437ED7"/>
    <w:rsid w:val="00442A68"/>
    <w:rsid w:val="00444B38"/>
    <w:rsid w:val="00447389"/>
    <w:rsid w:val="004476DD"/>
    <w:rsid w:val="00451119"/>
    <w:rsid w:val="004513BE"/>
    <w:rsid w:val="00453DA8"/>
    <w:rsid w:val="00456A3F"/>
    <w:rsid w:val="0046096A"/>
    <w:rsid w:val="00467678"/>
    <w:rsid w:val="00473A9C"/>
    <w:rsid w:val="00473AB2"/>
    <w:rsid w:val="00481974"/>
    <w:rsid w:val="00482F3B"/>
    <w:rsid w:val="00483705"/>
    <w:rsid w:val="0048390C"/>
    <w:rsid w:val="00490948"/>
    <w:rsid w:val="00492457"/>
    <w:rsid w:val="00492494"/>
    <w:rsid w:val="0049461D"/>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2A2D"/>
    <w:rsid w:val="004F37E9"/>
    <w:rsid w:val="005008EB"/>
    <w:rsid w:val="005014E8"/>
    <w:rsid w:val="005029A0"/>
    <w:rsid w:val="0050666A"/>
    <w:rsid w:val="005101FB"/>
    <w:rsid w:val="005209FA"/>
    <w:rsid w:val="005213C3"/>
    <w:rsid w:val="00522919"/>
    <w:rsid w:val="00523C7A"/>
    <w:rsid w:val="00531FF1"/>
    <w:rsid w:val="00532305"/>
    <w:rsid w:val="00535364"/>
    <w:rsid w:val="005375DE"/>
    <w:rsid w:val="00540777"/>
    <w:rsid w:val="005408C8"/>
    <w:rsid w:val="00540FB0"/>
    <w:rsid w:val="00541EA4"/>
    <w:rsid w:val="0054492A"/>
    <w:rsid w:val="0054575F"/>
    <w:rsid w:val="00551FB8"/>
    <w:rsid w:val="005525FA"/>
    <w:rsid w:val="005539E8"/>
    <w:rsid w:val="005568FE"/>
    <w:rsid w:val="00562D38"/>
    <w:rsid w:val="00566122"/>
    <w:rsid w:val="00566B89"/>
    <w:rsid w:val="00571EC1"/>
    <w:rsid w:val="00572936"/>
    <w:rsid w:val="0057408B"/>
    <w:rsid w:val="00581355"/>
    <w:rsid w:val="00585144"/>
    <w:rsid w:val="005852B8"/>
    <w:rsid w:val="005874F2"/>
    <w:rsid w:val="00587ACD"/>
    <w:rsid w:val="00587E9A"/>
    <w:rsid w:val="0059067B"/>
    <w:rsid w:val="005942D3"/>
    <w:rsid w:val="005960C6"/>
    <w:rsid w:val="005A0FF4"/>
    <w:rsid w:val="005A102E"/>
    <w:rsid w:val="005A390D"/>
    <w:rsid w:val="005A466F"/>
    <w:rsid w:val="005A6A43"/>
    <w:rsid w:val="005A7A84"/>
    <w:rsid w:val="005B5D99"/>
    <w:rsid w:val="005B6E83"/>
    <w:rsid w:val="005C01E1"/>
    <w:rsid w:val="005C06F8"/>
    <w:rsid w:val="005C3E00"/>
    <w:rsid w:val="005C6951"/>
    <w:rsid w:val="005D011E"/>
    <w:rsid w:val="005D02EB"/>
    <w:rsid w:val="005D2A08"/>
    <w:rsid w:val="005D35F5"/>
    <w:rsid w:val="005D642D"/>
    <w:rsid w:val="005D68AE"/>
    <w:rsid w:val="005D7171"/>
    <w:rsid w:val="005E550A"/>
    <w:rsid w:val="005E5E84"/>
    <w:rsid w:val="005E6067"/>
    <w:rsid w:val="005F2BB9"/>
    <w:rsid w:val="005F4DD4"/>
    <w:rsid w:val="006014B6"/>
    <w:rsid w:val="006052F0"/>
    <w:rsid w:val="00605B93"/>
    <w:rsid w:val="00607A4B"/>
    <w:rsid w:val="00610681"/>
    <w:rsid w:val="00612603"/>
    <w:rsid w:val="00614226"/>
    <w:rsid w:val="0061660A"/>
    <w:rsid w:val="00616EF3"/>
    <w:rsid w:val="00617869"/>
    <w:rsid w:val="00621947"/>
    <w:rsid w:val="00621BC5"/>
    <w:rsid w:val="00624F39"/>
    <w:rsid w:val="006258CB"/>
    <w:rsid w:val="0062718A"/>
    <w:rsid w:val="006279BA"/>
    <w:rsid w:val="00627EBA"/>
    <w:rsid w:val="006310D1"/>
    <w:rsid w:val="006321B2"/>
    <w:rsid w:val="00632AF6"/>
    <w:rsid w:val="00632EDC"/>
    <w:rsid w:val="006338E2"/>
    <w:rsid w:val="00636E16"/>
    <w:rsid w:val="006424F3"/>
    <w:rsid w:val="006425E4"/>
    <w:rsid w:val="006459FC"/>
    <w:rsid w:val="00645CBE"/>
    <w:rsid w:val="00651F25"/>
    <w:rsid w:val="0065307E"/>
    <w:rsid w:val="00655EE6"/>
    <w:rsid w:val="0066293B"/>
    <w:rsid w:val="0067008C"/>
    <w:rsid w:val="0067152C"/>
    <w:rsid w:val="00672811"/>
    <w:rsid w:val="00674731"/>
    <w:rsid w:val="00677D51"/>
    <w:rsid w:val="00681DFA"/>
    <w:rsid w:val="00683CA9"/>
    <w:rsid w:val="00684D4B"/>
    <w:rsid w:val="00686B43"/>
    <w:rsid w:val="0068718B"/>
    <w:rsid w:val="0068794A"/>
    <w:rsid w:val="006938D1"/>
    <w:rsid w:val="00694328"/>
    <w:rsid w:val="006955CF"/>
    <w:rsid w:val="006A1588"/>
    <w:rsid w:val="006A2155"/>
    <w:rsid w:val="006B075C"/>
    <w:rsid w:val="006B09BF"/>
    <w:rsid w:val="006B3743"/>
    <w:rsid w:val="006B7829"/>
    <w:rsid w:val="006C0FBE"/>
    <w:rsid w:val="006C20F9"/>
    <w:rsid w:val="006C37D8"/>
    <w:rsid w:val="006C3913"/>
    <w:rsid w:val="006C5D9C"/>
    <w:rsid w:val="006C7BA1"/>
    <w:rsid w:val="006C7D1E"/>
    <w:rsid w:val="006D06E6"/>
    <w:rsid w:val="006D1E5F"/>
    <w:rsid w:val="006D62CD"/>
    <w:rsid w:val="006D669D"/>
    <w:rsid w:val="006E74D9"/>
    <w:rsid w:val="006F5C0F"/>
    <w:rsid w:val="006F5E14"/>
    <w:rsid w:val="006F671F"/>
    <w:rsid w:val="006F6792"/>
    <w:rsid w:val="00702970"/>
    <w:rsid w:val="00705E6F"/>
    <w:rsid w:val="007062A9"/>
    <w:rsid w:val="00706657"/>
    <w:rsid w:val="00706B53"/>
    <w:rsid w:val="007073B9"/>
    <w:rsid w:val="0071001B"/>
    <w:rsid w:val="0071045D"/>
    <w:rsid w:val="00713103"/>
    <w:rsid w:val="00715093"/>
    <w:rsid w:val="00720A1F"/>
    <w:rsid w:val="00723496"/>
    <w:rsid w:val="00724A4E"/>
    <w:rsid w:val="007265F5"/>
    <w:rsid w:val="007306A6"/>
    <w:rsid w:val="007349BC"/>
    <w:rsid w:val="00736180"/>
    <w:rsid w:val="00736BFC"/>
    <w:rsid w:val="00740475"/>
    <w:rsid w:val="00740DD4"/>
    <w:rsid w:val="0074192D"/>
    <w:rsid w:val="00746751"/>
    <w:rsid w:val="00753BDC"/>
    <w:rsid w:val="0075481F"/>
    <w:rsid w:val="007549C6"/>
    <w:rsid w:val="00756C2C"/>
    <w:rsid w:val="00756FF3"/>
    <w:rsid w:val="00763806"/>
    <w:rsid w:val="00765C94"/>
    <w:rsid w:val="007701C4"/>
    <w:rsid w:val="00776630"/>
    <w:rsid w:val="007809E9"/>
    <w:rsid w:val="00795A4A"/>
    <w:rsid w:val="00796A25"/>
    <w:rsid w:val="007A1885"/>
    <w:rsid w:val="007A438F"/>
    <w:rsid w:val="007A617D"/>
    <w:rsid w:val="007A7ED7"/>
    <w:rsid w:val="007B18BE"/>
    <w:rsid w:val="007B6302"/>
    <w:rsid w:val="007B7D1F"/>
    <w:rsid w:val="007C3887"/>
    <w:rsid w:val="007C3ADF"/>
    <w:rsid w:val="007D2271"/>
    <w:rsid w:val="007D2F8E"/>
    <w:rsid w:val="007D7683"/>
    <w:rsid w:val="007E32CC"/>
    <w:rsid w:val="007E3980"/>
    <w:rsid w:val="007F00DA"/>
    <w:rsid w:val="007F10DA"/>
    <w:rsid w:val="007F5B70"/>
    <w:rsid w:val="00805ABB"/>
    <w:rsid w:val="00807BCF"/>
    <w:rsid w:val="00813FAF"/>
    <w:rsid w:val="00814340"/>
    <w:rsid w:val="0082197E"/>
    <w:rsid w:val="00826A84"/>
    <w:rsid w:val="00826F40"/>
    <w:rsid w:val="00827ECF"/>
    <w:rsid w:val="008314B5"/>
    <w:rsid w:val="00832156"/>
    <w:rsid w:val="00834948"/>
    <w:rsid w:val="008457BA"/>
    <w:rsid w:val="00847D70"/>
    <w:rsid w:val="00847E29"/>
    <w:rsid w:val="0085253F"/>
    <w:rsid w:val="0085344D"/>
    <w:rsid w:val="0085490D"/>
    <w:rsid w:val="00862C5A"/>
    <w:rsid w:val="00864A69"/>
    <w:rsid w:val="00864C25"/>
    <w:rsid w:val="00867B29"/>
    <w:rsid w:val="00871444"/>
    <w:rsid w:val="00874D1C"/>
    <w:rsid w:val="00875601"/>
    <w:rsid w:val="008773CE"/>
    <w:rsid w:val="00881FE5"/>
    <w:rsid w:val="00883A66"/>
    <w:rsid w:val="008864E4"/>
    <w:rsid w:val="00887A76"/>
    <w:rsid w:val="0089080C"/>
    <w:rsid w:val="00890F55"/>
    <w:rsid w:val="0089345D"/>
    <w:rsid w:val="00894F7C"/>
    <w:rsid w:val="008A5E08"/>
    <w:rsid w:val="008A6B1A"/>
    <w:rsid w:val="008B1A8A"/>
    <w:rsid w:val="008B29E3"/>
    <w:rsid w:val="008B34AA"/>
    <w:rsid w:val="008B3F99"/>
    <w:rsid w:val="008B6997"/>
    <w:rsid w:val="008C6FBE"/>
    <w:rsid w:val="008E003A"/>
    <w:rsid w:val="008E1160"/>
    <w:rsid w:val="008E61AF"/>
    <w:rsid w:val="008F0C49"/>
    <w:rsid w:val="008F1DFD"/>
    <w:rsid w:val="008F26B6"/>
    <w:rsid w:val="008F3C13"/>
    <w:rsid w:val="008F4A75"/>
    <w:rsid w:val="008F7B3A"/>
    <w:rsid w:val="0090065C"/>
    <w:rsid w:val="009048D4"/>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0511"/>
    <w:rsid w:val="009568D5"/>
    <w:rsid w:val="00960461"/>
    <w:rsid w:val="00965F38"/>
    <w:rsid w:val="00966208"/>
    <w:rsid w:val="00967C42"/>
    <w:rsid w:val="0097264E"/>
    <w:rsid w:val="0097698A"/>
    <w:rsid w:val="00982021"/>
    <w:rsid w:val="00983B35"/>
    <w:rsid w:val="009858B4"/>
    <w:rsid w:val="00987886"/>
    <w:rsid w:val="0099313C"/>
    <w:rsid w:val="009A0572"/>
    <w:rsid w:val="009A2D28"/>
    <w:rsid w:val="009A7931"/>
    <w:rsid w:val="009B0E07"/>
    <w:rsid w:val="009B4F13"/>
    <w:rsid w:val="009B7FD9"/>
    <w:rsid w:val="009C28A2"/>
    <w:rsid w:val="009C6C8E"/>
    <w:rsid w:val="009D2E8A"/>
    <w:rsid w:val="009D4F2E"/>
    <w:rsid w:val="009D596B"/>
    <w:rsid w:val="009D5DE2"/>
    <w:rsid w:val="009D6034"/>
    <w:rsid w:val="009D606D"/>
    <w:rsid w:val="009D6E05"/>
    <w:rsid w:val="009E0CE0"/>
    <w:rsid w:val="009E1DBA"/>
    <w:rsid w:val="009E2268"/>
    <w:rsid w:val="009E2C11"/>
    <w:rsid w:val="009E2FAF"/>
    <w:rsid w:val="009E5388"/>
    <w:rsid w:val="009F0127"/>
    <w:rsid w:val="009F0D80"/>
    <w:rsid w:val="009F1283"/>
    <w:rsid w:val="009F1F3E"/>
    <w:rsid w:val="009F26C2"/>
    <w:rsid w:val="00A00C4E"/>
    <w:rsid w:val="00A0193A"/>
    <w:rsid w:val="00A020A4"/>
    <w:rsid w:val="00A027BF"/>
    <w:rsid w:val="00A0296D"/>
    <w:rsid w:val="00A0427F"/>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1C0"/>
    <w:rsid w:val="00A56957"/>
    <w:rsid w:val="00A56A47"/>
    <w:rsid w:val="00A57AE7"/>
    <w:rsid w:val="00A60179"/>
    <w:rsid w:val="00A6579D"/>
    <w:rsid w:val="00A660D9"/>
    <w:rsid w:val="00A709F0"/>
    <w:rsid w:val="00A70D10"/>
    <w:rsid w:val="00A70EF4"/>
    <w:rsid w:val="00A7120B"/>
    <w:rsid w:val="00A744E0"/>
    <w:rsid w:val="00A74FEB"/>
    <w:rsid w:val="00A774B5"/>
    <w:rsid w:val="00A775C7"/>
    <w:rsid w:val="00A80506"/>
    <w:rsid w:val="00A838F5"/>
    <w:rsid w:val="00A8433F"/>
    <w:rsid w:val="00A85D06"/>
    <w:rsid w:val="00A861AF"/>
    <w:rsid w:val="00A87CD4"/>
    <w:rsid w:val="00A91A2B"/>
    <w:rsid w:val="00A93346"/>
    <w:rsid w:val="00A95615"/>
    <w:rsid w:val="00A95B91"/>
    <w:rsid w:val="00A9637E"/>
    <w:rsid w:val="00A97FFB"/>
    <w:rsid w:val="00AA09B8"/>
    <w:rsid w:val="00AA35B5"/>
    <w:rsid w:val="00AB165F"/>
    <w:rsid w:val="00AB5D7C"/>
    <w:rsid w:val="00AC064E"/>
    <w:rsid w:val="00AC07E5"/>
    <w:rsid w:val="00AC1279"/>
    <w:rsid w:val="00AC5B5A"/>
    <w:rsid w:val="00AD4109"/>
    <w:rsid w:val="00AD5A02"/>
    <w:rsid w:val="00AD5E71"/>
    <w:rsid w:val="00AD74DE"/>
    <w:rsid w:val="00AE48D9"/>
    <w:rsid w:val="00AE4C54"/>
    <w:rsid w:val="00AF1148"/>
    <w:rsid w:val="00AF6134"/>
    <w:rsid w:val="00B00F63"/>
    <w:rsid w:val="00B01CC8"/>
    <w:rsid w:val="00B0336D"/>
    <w:rsid w:val="00B044BC"/>
    <w:rsid w:val="00B05A67"/>
    <w:rsid w:val="00B0797B"/>
    <w:rsid w:val="00B20F2D"/>
    <w:rsid w:val="00B21D6E"/>
    <w:rsid w:val="00B224B8"/>
    <w:rsid w:val="00B23F90"/>
    <w:rsid w:val="00B3208A"/>
    <w:rsid w:val="00B322FC"/>
    <w:rsid w:val="00B32AFE"/>
    <w:rsid w:val="00B35092"/>
    <w:rsid w:val="00B35359"/>
    <w:rsid w:val="00B354E6"/>
    <w:rsid w:val="00B36E06"/>
    <w:rsid w:val="00B36E4C"/>
    <w:rsid w:val="00B40DAF"/>
    <w:rsid w:val="00B43382"/>
    <w:rsid w:val="00B51A3C"/>
    <w:rsid w:val="00B51B78"/>
    <w:rsid w:val="00B53513"/>
    <w:rsid w:val="00B53CF8"/>
    <w:rsid w:val="00B60452"/>
    <w:rsid w:val="00B61207"/>
    <w:rsid w:val="00B615E3"/>
    <w:rsid w:val="00B62C7A"/>
    <w:rsid w:val="00B667EB"/>
    <w:rsid w:val="00B677E3"/>
    <w:rsid w:val="00B703CD"/>
    <w:rsid w:val="00B70FE3"/>
    <w:rsid w:val="00B754B8"/>
    <w:rsid w:val="00B774F1"/>
    <w:rsid w:val="00B8054E"/>
    <w:rsid w:val="00B829E8"/>
    <w:rsid w:val="00B854AE"/>
    <w:rsid w:val="00B85FFD"/>
    <w:rsid w:val="00B91F49"/>
    <w:rsid w:val="00B9227A"/>
    <w:rsid w:val="00B95996"/>
    <w:rsid w:val="00B9632C"/>
    <w:rsid w:val="00BA0201"/>
    <w:rsid w:val="00BA37EF"/>
    <w:rsid w:val="00BA627B"/>
    <w:rsid w:val="00BA6FA8"/>
    <w:rsid w:val="00BB5B9E"/>
    <w:rsid w:val="00BB6741"/>
    <w:rsid w:val="00BB7432"/>
    <w:rsid w:val="00BC5397"/>
    <w:rsid w:val="00BC5653"/>
    <w:rsid w:val="00BC5F5D"/>
    <w:rsid w:val="00BD0A83"/>
    <w:rsid w:val="00BD1160"/>
    <w:rsid w:val="00BD6738"/>
    <w:rsid w:val="00BE51F4"/>
    <w:rsid w:val="00BF218F"/>
    <w:rsid w:val="00C00AF7"/>
    <w:rsid w:val="00C01D46"/>
    <w:rsid w:val="00C028D1"/>
    <w:rsid w:val="00C02B3F"/>
    <w:rsid w:val="00C03963"/>
    <w:rsid w:val="00C04169"/>
    <w:rsid w:val="00C04B1A"/>
    <w:rsid w:val="00C054AA"/>
    <w:rsid w:val="00C10CAD"/>
    <w:rsid w:val="00C121D8"/>
    <w:rsid w:val="00C128D0"/>
    <w:rsid w:val="00C13CE8"/>
    <w:rsid w:val="00C20789"/>
    <w:rsid w:val="00C21251"/>
    <w:rsid w:val="00C2346A"/>
    <w:rsid w:val="00C254C7"/>
    <w:rsid w:val="00C30913"/>
    <w:rsid w:val="00C31158"/>
    <w:rsid w:val="00C35D6A"/>
    <w:rsid w:val="00C361A6"/>
    <w:rsid w:val="00C4117A"/>
    <w:rsid w:val="00C46973"/>
    <w:rsid w:val="00C51B9B"/>
    <w:rsid w:val="00C52242"/>
    <w:rsid w:val="00C5353E"/>
    <w:rsid w:val="00C53F3B"/>
    <w:rsid w:val="00C556BF"/>
    <w:rsid w:val="00C56A10"/>
    <w:rsid w:val="00C56D52"/>
    <w:rsid w:val="00C637E5"/>
    <w:rsid w:val="00C726E4"/>
    <w:rsid w:val="00C72733"/>
    <w:rsid w:val="00C735CD"/>
    <w:rsid w:val="00C737DC"/>
    <w:rsid w:val="00C7699D"/>
    <w:rsid w:val="00C8252E"/>
    <w:rsid w:val="00C85E71"/>
    <w:rsid w:val="00C85E8A"/>
    <w:rsid w:val="00C86B5C"/>
    <w:rsid w:val="00C87FBE"/>
    <w:rsid w:val="00C912D6"/>
    <w:rsid w:val="00C96A85"/>
    <w:rsid w:val="00C97245"/>
    <w:rsid w:val="00C97744"/>
    <w:rsid w:val="00CA0DB5"/>
    <w:rsid w:val="00CA0F8A"/>
    <w:rsid w:val="00CA1919"/>
    <w:rsid w:val="00CB445E"/>
    <w:rsid w:val="00CB67B9"/>
    <w:rsid w:val="00CC17AD"/>
    <w:rsid w:val="00CC2CFC"/>
    <w:rsid w:val="00CC374C"/>
    <w:rsid w:val="00CC4F01"/>
    <w:rsid w:val="00CC5D21"/>
    <w:rsid w:val="00CC6802"/>
    <w:rsid w:val="00CC750A"/>
    <w:rsid w:val="00CC79AE"/>
    <w:rsid w:val="00CD243A"/>
    <w:rsid w:val="00CE0FC0"/>
    <w:rsid w:val="00CE4B5C"/>
    <w:rsid w:val="00CF0080"/>
    <w:rsid w:val="00CF5E2D"/>
    <w:rsid w:val="00CF60A3"/>
    <w:rsid w:val="00D006A7"/>
    <w:rsid w:val="00D018F1"/>
    <w:rsid w:val="00D03CB0"/>
    <w:rsid w:val="00D048BD"/>
    <w:rsid w:val="00D07512"/>
    <w:rsid w:val="00D07836"/>
    <w:rsid w:val="00D1317D"/>
    <w:rsid w:val="00D218CC"/>
    <w:rsid w:val="00D225D0"/>
    <w:rsid w:val="00D267B1"/>
    <w:rsid w:val="00D31389"/>
    <w:rsid w:val="00D350BA"/>
    <w:rsid w:val="00D36D78"/>
    <w:rsid w:val="00D41325"/>
    <w:rsid w:val="00D41901"/>
    <w:rsid w:val="00D4312F"/>
    <w:rsid w:val="00D44301"/>
    <w:rsid w:val="00D50875"/>
    <w:rsid w:val="00D521A0"/>
    <w:rsid w:val="00D57539"/>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A10CB"/>
    <w:rsid w:val="00DA3FA9"/>
    <w:rsid w:val="00DA6FA7"/>
    <w:rsid w:val="00DC39B7"/>
    <w:rsid w:val="00DC7D93"/>
    <w:rsid w:val="00DD4B0A"/>
    <w:rsid w:val="00DD7BC5"/>
    <w:rsid w:val="00DE0B61"/>
    <w:rsid w:val="00DE19CE"/>
    <w:rsid w:val="00DE5995"/>
    <w:rsid w:val="00DE7657"/>
    <w:rsid w:val="00DF2F67"/>
    <w:rsid w:val="00E010EB"/>
    <w:rsid w:val="00E02A13"/>
    <w:rsid w:val="00E10383"/>
    <w:rsid w:val="00E13824"/>
    <w:rsid w:val="00E1505C"/>
    <w:rsid w:val="00E17ACD"/>
    <w:rsid w:val="00E22D55"/>
    <w:rsid w:val="00E2313B"/>
    <w:rsid w:val="00E31255"/>
    <w:rsid w:val="00E35FD7"/>
    <w:rsid w:val="00E44DA1"/>
    <w:rsid w:val="00E470DF"/>
    <w:rsid w:val="00E52923"/>
    <w:rsid w:val="00E5569B"/>
    <w:rsid w:val="00E5768F"/>
    <w:rsid w:val="00E615BF"/>
    <w:rsid w:val="00E61E04"/>
    <w:rsid w:val="00E6544C"/>
    <w:rsid w:val="00E656A8"/>
    <w:rsid w:val="00E7332B"/>
    <w:rsid w:val="00E733D9"/>
    <w:rsid w:val="00E73F09"/>
    <w:rsid w:val="00E87F71"/>
    <w:rsid w:val="00E93369"/>
    <w:rsid w:val="00E965B5"/>
    <w:rsid w:val="00E96D3E"/>
    <w:rsid w:val="00EA20C9"/>
    <w:rsid w:val="00EA2189"/>
    <w:rsid w:val="00EA6A86"/>
    <w:rsid w:val="00EC0545"/>
    <w:rsid w:val="00EC1446"/>
    <w:rsid w:val="00EC1A39"/>
    <w:rsid w:val="00EC2AE8"/>
    <w:rsid w:val="00ED2404"/>
    <w:rsid w:val="00ED2A46"/>
    <w:rsid w:val="00ED3689"/>
    <w:rsid w:val="00ED3754"/>
    <w:rsid w:val="00ED43D7"/>
    <w:rsid w:val="00ED51D4"/>
    <w:rsid w:val="00ED782C"/>
    <w:rsid w:val="00EE1105"/>
    <w:rsid w:val="00EE12C1"/>
    <w:rsid w:val="00EE14DA"/>
    <w:rsid w:val="00EE173D"/>
    <w:rsid w:val="00EE2C8F"/>
    <w:rsid w:val="00EE48EE"/>
    <w:rsid w:val="00EE59B2"/>
    <w:rsid w:val="00EE62D0"/>
    <w:rsid w:val="00EE7326"/>
    <w:rsid w:val="00EF06FC"/>
    <w:rsid w:val="00EF217F"/>
    <w:rsid w:val="00EF23E4"/>
    <w:rsid w:val="00EF2DEE"/>
    <w:rsid w:val="00EF57CD"/>
    <w:rsid w:val="00EF6B96"/>
    <w:rsid w:val="00EF7C69"/>
    <w:rsid w:val="00F00916"/>
    <w:rsid w:val="00F01A86"/>
    <w:rsid w:val="00F025D4"/>
    <w:rsid w:val="00F0604B"/>
    <w:rsid w:val="00F10DF5"/>
    <w:rsid w:val="00F13811"/>
    <w:rsid w:val="00F13970"/>
    <w:rsid w:val="00F17A22"/>
    <w:rsid w:val="00F17D23"/>
    <w:rsid w:val="00F17DC3"/>
    <w:rsid w:val="00F213D6"/>
    <w:rsid w:val="00F31BFC"/>
    <w:rsid w:val="00F34203"/>
    <w:rsid w:val="00F439BF"/>
    <w:rsid w:val="00F43DEF"/>
    <w:rsid w:val="00F45BA0"/>
    <w:rsid w:val="00F4631C"/>
    <w:rsid w:val="00F478B3"/>
    <w:rsid w:val="00F53B0E"/>
    <w:rsid w:val="00F5535F"/>
    <w:rsid w:val="00F60C11"/>
    <w:rsid w:val="00F6338B"/>
    <w:rsid w:val="00F6701F"/>
    <w:rsid w:val="00F70CB3"/>
    <w:rsid w:val="00F72F83"/>
    <w:rsid w:val="00F736A2"/>
    <w:rsid w:val="00F73740"/>
    <w:rsid w:val="00F75896"/>
    <w:rsid w:val="00F80A35"/>
    <w:rsid w:val="00F82A60"/>
    <w:rsid w:val="00F831AD"/>
    <w:rsid w:val="00F90FC2"/>
    <w:rsid w:val="00F91902"/>
    <w:rsid w:val="00F95584"/>
    <w:rsid w:val="00F95AB3"/>
    <w:rsid w:val="00F95FBC"/>
    <w:rsid w:val="00F97B6C"/>
    <w:rsid w:val="00FA0424"/>
    <w:rsid w:val="00FA2EEC"/>
    <w:rsid w:val="00FA3507"/>
    <w:rsid w:val="00FA55EF"/>
    <w:rsid w:val="00FB137D"/>
    <w:rsid w:val="00FB3818"/>
    <w:rsid w:val="00FB413D"/>
    <w:rsid w:val="00FB5E38"/>
    <w:rsid w:val="00FB5ED1"/>
    <w:rsid w:val="00FB6D5F"/>
    <w:rsid w:val="00FC1F04"/>
    <w:rsid w:val="00FC730A"/>
    <w:rsid w:val="00FD13F3"/>
    <w:rsid w:val="00FD15B8"/>
    <w:rsid w:val="00FD7519"/>
    <w:rsid w:val="00FE0BC7"/>
    <w:rsid w:val="00FE27B2"/>
    <w:rsid w:val="00FE2D37"/>
    <w:rsid w:val="00FE3E16"/>
    <w:rsid w:val="00FE49B3"/>
    <w:rsid w:val="00FE5B82"/>
    <w:rsid w:val="00FE5D8F"/>
    <w:rsid w:val="00FE6824"/>
    <w:rsid w:val="00FE78FF"/>
    <w:rsid w:val="00FF32BD"/>
    <w:rsid w:val="00FF737F"/>
    <w:rsid w:val="00FF782D"/>
    <w:rsid w:val="07A446FA"/>
    <w:rsid w:val="0CB1A38A"/>
    <w:rsid w:val="142DD05E"/>
    <w:rsid w:val="19014181"/>
    <w:rsid w:val="19EEE9AC"/>
    <w:rsid w:val="1E01DCE8"/>
    <w:rsid w:val="26622988"/>
    <w:rsid w:val="271EA37F"/>
    <w:rsid w:val="27FDF9E9"/>
    <w:rsid w:val="3B8ACBAF"/>
    <w:rsid w:val="3DC2296C"/>
    <w:rsid w:val="424886A0"/>
    <w:rsid w:val="48F128AE"/>
    <w:rsid w:val="4D904D60"/>
    <w:rsid w:val="5372B1A2"/>
    <w:rsid w:val="53B3EEE4"/>
    <w:rsid w:val="5AADBEEC"/>
    <w:rsid w:val="6308DCE3"/>
    <w:rsid w:val="64A4AD44"/>
    <w:rsid w:val="67DC4E06"/>
    <w:rsid w:val="6838ACE2"/>
    <w:rsid w:val="7D6519F4"/>
    <w:rsid w:val="7E553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DC8BC"/>
  <w15:docId w15:val="{82C3C736-7A46-4538-A50A-B05FCA1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8F"/>
    <w:pPr>
      <w:spacing w:after="60"/>
      <w:jc w:val="both"/>
    </w:pPr>
    <w:rPr>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51FB8"/>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next w:val="Normal"/>
    <w:link w:val="Estilo3Car"/>
    <w:autoRedefine/>
    <w:qFormat/>
    <w:rsid w:val="00473A9C"/>
    <w:pPr>
      <w:numPr>
        <w:ilvl w:val="2"/>
      </w:numPr>
      <w:ind w:left="567" w:hanging="567"/>
      <w:outlineLvl w:val="2"/>
    </w:pPr>
    <w:rPr>
      <w:sz w:val="24"/>
      <w:lang w:eastAsia="en-US"/>
    </w:rPr>
  </w:style>
  <w:style w:type="character" w:customStyle="1" w:styleId="Estilo3Car">
    <w:name w:val="Estilo3 Car"/>
    <w:basedOn w:val="Estilo2Car"/>
    <w:link w:val="Estilo3"/>
    <w:rsid w:val="00473A9C"/>
    <w:rPr>
      <w:color w:val="C00000"/>
      <w:sz w:val="24"/>
      <w:lang w:val="fr-FR" w:eastAsia="es-ES"/>
    </w:rPr>
  </w:style>
  <w:style w:type="paragraph" w:customStyle="1" w:styleId="Estilo2">
    <w:name w:val="Estilo2"/>
    <w:basedOn w:val="Estilo1"/>
    <w:next w:val="Estilo3"/>
    <w:link w:val="Estilo2Car"/>
    <w:autoRedefine/>
    <w:qFormat/>
    <w:rsid w:val="00473A9C"/>
    <w:pPr>
      <w:keepNext/>
      <w:numPr>
        <w:ilvl w:val="1"/>
        <w:numId w:val="1"/>
      </w:numPr>
      <w:ind w:left="567" w:hanging="567"/>
      <w:outlineLvl w:val="1"/>
    </w:pPr>
  </w:style>
  <w:style w:type="character" w:customStyle="1" w:styleId="Estilo2Car">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customStyle="1" w:styleId="Estilo1">
    <w:name w:val="Estilo1"/>
    <w:basedOn w:val="Normal"/>
    <w:next w:val="Estilo2"/>
    <w:link w:val="Estilo1Car"/>
    <w:autoRedefine/>
    <w:qFormat/>
    <w:rsid w:val="004176CA"/>
    <w:pPr>
      <w:numPr>
        <w:numId w:val="2"/>
      </w:numPr>
      <w:spacing w:after="120"/>
      <w:ind w:left="426" w:hanging="426"/>
      <w:outlineLvl w:val="0"/>
    </w:pPr>
    <w:rPr>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customStyle="1" w:styleId="Estilo1Car">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customStyle="1" w:styleId="TextonotapieCar">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customStyle="1" w:styleId="TextocomentarioCar">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customStyle="1" w:styleId="AsuntodelcomentarioCar">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eastAsiaTheme="minorEastAsia" w:hAnsi="Times New Roman" w:cs="Times New Roman"/>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customStyle="1" w:styleId="Ttulo1Car">
    <w:name w:val="Título 1 Car"/>
    <w:basedOn w:val="Fuentedeprrafopredeter"/>
    <w:link w:val="Ttulo1"/>
    <w:uiPriority w:val="9"/>
    <w:rsid w:val="004E3202"/>
    <w:rPr>
      <w:rFonts w:asciiTheme="majorHAnsi" w:eastAsiaTheme="majorEastAsia" w:hAnsiTheme="majorHAnsi"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customStyle="1" w:styleId="Mencinsinresolver1">
    <w:name w:val="Mención sin resolver1"/>
    <w:basedOn w:val="Fuentedeprrafopredeter"/>
    <w:uiPriority w:val="99"/>
    <w:rsid w:val="004045E0"/>
    <w:rPr>
      <w:color w:val="605E5C"/>
      <w:shd w:val="clear" w:color="auto" w:fill="E1DFDD"/>
    </w:rPr>
  </w:style>
  <w:style w:type="character" w:customStyle="1" w:styleId="Ttulo3Car">
    <w:name w:val="Título 3 Car"/>
    <w:basedOn w:val="Fuentedeprrafopredeter"/>
    <w:link w:val="Ttulo3"/>
    <w:uiPriority w:val="9"/>
    <w:semiHidden/>
    <w:rsid w:val="00D521A0"/>
    <w:rPr>
      <w:rFonts w:asciiTheme="majorHAnsi" w:eastAsiaTheme="majorEastAsia" w:hAnsiTheme="majorHAnsi" w:cstheme="majorBidi"/>
      <w:noProof/>
      <w:color w:val="243F60" w:themeColor="accent1" w:themeShade="7F"/>
      <w:sz w:val="24"/>
      <w:szCs w:val="24"/>
      <w:lang w:eastAsia="es-ES"/>
    </w:rPr>
  </w:style>
  <w:style w:type="paragraph" w:customStyle="1" w:styleId="Estilo4">
    <w:name w:val="Estilo4"/>
    <w:basedOn w:val="Ttulo3"/>
    <w:link w:val="Estilo4Car"/>
    <w:qFormat/>
    <w:rsid w:val="00D521A0"/>
    <w:pPr>
      <w:spacing w:after="120"/>
    </w:pPr>
    <w:rPr>
      <w:rFonts w:asciiTheme="minorHAnsi" w:hAnsiTheme="minorHAnsi" w:cstheme="minorHAnsi"/>
      <w:b/>
      <w:color w:val="C00000"/>
      <w:sz w:val="22"/>
      <w:szCs w:val="22"/>
      <w:lang w:val="fr-FR"/>
    </w:rPr>
  </w:style>
  <w:style w:type="character" w:customStyle="1" w:styleId="Estilo4Car">
    <w:name w:val="Estilo4 Car"/>
    <w:basedOn w:val="Ttulo3Car"/>
    <w:link w:val="Estilo4"/>
    <w:rsid w:val="00D521A0"/>
    <w:rPr>
      <w:rFonts w:asciiTheme="majorHAnsi" w:eastAsiaTheme="majorEastAsia" w:hAnsiTheme="majorHAnsi" w:cstheme="minorHAnsi"/>
      <w:b/>
      <w:noProof/>
      <w:color w:val="C00000"/>
      <w:sz w:val="24"/>
      <w:szCs w:val="24"/>
      <w:lang w:val="fr-FR" w:eastAsia="es-ES"/>
    </w:rPr>
  </w:style>
  <w:style w:type="paragraph" w:customStyle="1" w:styleId="paragraph">
    <w:name w:val="paragraph"/>
    <w:basedOn w:val="Normal"/>
    <w:rsid w:val="002E31D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Fuentedeprrafopredeter"/>
    <w:rsid w:val="002E31D7"/>
  </w:style>
  <w:style w:type="character" w:customStyle="1" w:styleId="eop">
    <w:name w:val="eop"/>
    <w:basedOn w:val="Fuentedeprrafopredeter"/>
    <w:rsid w:val="002E31D7"/>
  </w:style>
  <w:style w:type="character" w:customStyle="1" w:styleId="Ttulo2Car">
    <w:name w:val="Título 2 Car"/>
    <w:basedOn w:val="Fuentedeprrafopredeter"/>
    <w:link w:val="Ttulo2"/>
    <w:uiPriority w:val="9"/>
    <w:rsid w:val="00551FB8"/>
    <w:rPr>
      <w:rFonts w:asciiTheme="majorHAnsi" w:eastAsiaTheme="majorEastAsia" w:hAnsiTheme="majorHAnsi" w:cstheme="majorBidi"/>
      <w:color w:val="365F91" w:themeColor="accent1" w:themeShade="BF"/>
      <w:sz w:val="26"/>
      <w:szCs w:val="26"/>
    </w:rPr>
  </w:style>
  <w:style w:type="table" w:styleId="Tablanormal4">
    <w:name w:val="Plain Table 4"/>
    <w:basedOn w:val="Tablanormal"/>
    <w:uiPriority w:val="44"/>
    <w:rsid w:val="00C13C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Vietagrande">
    <w:name w:val="Viñeta grande"/>
    <w:rsid w:val="002A5491"/>
    <w:pPr>
      <w:numPr>
        <w:numId w:val="3"/>
      </w:numPr>
    </w:pPr>
  </w:style>
  <w:style w:type="paragraph" w:styleId="Subttulo">
    <w:name w:val="Subtitle"/>
    <w:aliases w:val="CR-06-Pie foto detalle"/>
    <w:basedOn w:val="Normal"/>
    <w:next w:val="Normal"/>
    <w:link w:val="SubttuloCar"/>
    <w:uiPriority w:val="11"/>
    <w:qFormat/>
    <w:rsid w:val="002A5491"/>
    <w:pPr>
      <w:pBdr>
        <w:top w:val="nil"/>
        <w:left w:val="nil"/>
        <w:bottom w:val="nil"/>
        <w:right w:val="nil"/>
        <w:between w:val="nil"/>
        <w:bar w:val="nil"/>
      </w:pBdr>
      <w:spacing w:after="0" w:line="288" w:lineRule="auto"/>
      <w:jc w:val="left"/>
    </w:pPr>
    <w:rPr>
      <w:rFonts w:ascii="Montserrat" w:eastAsia="Arial Unicode MS" w:hAnsi="Montserrat" w:cs="Arial Unicode MS"/>
      <w:caps/>
      <w:color w:val="C2C5C8"/>
      <w:sz w:val="16"/>
      <w:szCs w:val="16"/>
      <w:bdr w:val="nil"/>
      <w:lang w:val="es-ES_tradnl" w:eastAsia="es-ES_tradnl"/>
      <w14:textOutline w14:w="0" w14:cap="flat" w14:cmpd="sng" w14:algn="ctr">
        <w14:noFill/>
        <w14:prstDash w14:val="solid"/>
        <w14:bevel/>
      </w14:textOutline>
    </w:rPr>
  </w:style>
  <w:style w:type="character" w:customStyle="1" w:styleId="SubttuloCar">
    <w:name w:val="Subtítulo Car"/>
    <w:aliases w:val="CR-06-Pie foto detalle Car"/>
    <w:basedOn w:val="Fuentedeprrafopredeter"/>
    <w:link w:val="Subttulo"/>
    <w:uiPriority w:val="11"/>
    <w:rsid w:val="002A5491"/>
    <w:rPr>
      <w:rFonts w:ascii="Montserrat" w:eastAsia="Arial Unicode MS" w:hAnsi="Montserrat" w:cs="Arial Unicode MS"/>
      <w:caps/>
      <w:color w:val="C2C5C8"/>
      <w:sz w:val="16"/>
      <w:szCs w:val="16"/>
      <w:bdr w:val="nil"/>
      <w:lang w:val="es-ES_tradnl" w:eastAsia="es-ES_tradnl"/>
      <w14:textOutline w14:w="0" w14:cap="flat" w14:cmpd="sng" w14:algn="ctr">
        <w14:noFill/>
        <w14:prstDash w14:val="solid"/>
        <w14:bevel/>
      </w14:textOutline>
    </w:rPr>
  </w:style>
  <w:style w:type="table" w:styleId="Tablanormal3">
    <w:name w:val="Plain Table 3"/>
    <w:basedOn w:val="Tablanormal"/>
    <w:uiPriority w:val="43"/>
    <w:rsid w:val="002A54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Vietagrande1">
    <w:name w:val="Viñeta grande1"/>
    <w:rsid w:val="00C637E5"/>
  </w:style>
  <w:style w:type="table" w:customStyle="1" w:styleId="Tablanormal41">
    <w:name w:val="Tabla normal 41"/>
    <w:basedOn w:val="Tablanormal"/>
    <w:next w:val="Tablanormal4"/>
    <w:uiPriority w:val="44"/>
    <w:rsid w:val="00C637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Tableau">
    <w:name w:val="Bullet Tableau"/>
    <w:basedOn w:val="Normal"/>
    <w:qFormat/>
    <w:rsid w:val="003C5E7D"/>
    <w:pPr>
      <w:keepNext/>
      <w:keepLines/>
      <w:framePr w:hSpace="141" w:wrap="around" w:vAnchor="text" w:hAnchor="margin" w:y="402"/>
      <w:numPr>
        <w:numId w:val="7"/>
      </w:numPr>
      <w:tabs>
        <w:tab w:val="left" w:pos="7230"/>
      </w:tabs>
      <w:spacing w:beforeLines="60" w:before="60" w:afterLines="20" w:after="20" w:line="240" w:lineRule="auto"/>
    </w:pPr>
    <w:rPr>
      <w:rFonts w:ascii="Arial" w:hAnsi="Arial" w:cs="Arial"/>
      <w:sz w:val="20"/>
      <w:lang w:val="en-US" w:eastAsia="en-US"/>
    </w:rPr>
  </w:style>
  <w:style w:type="paragraph" w:customStyle="1" w:styleId="TableParagraph">
    <w:name w:val="Table Paragraph"/>
    <w:basedOn w:val="Normal"/>
    <w:uiPriority w:val="1"/>
    <w:qFormat/>
    <w:rsid w:val="00126BC4"/>
    <w:pPr>
      <w:widowControl w:val="0"/>
      <w:autoSpaceDE w:val="0"/>
      <w:autoSpaceDN w:val="0"/>
      <w:spacing w:after="0" w:line="240" w:lineRule="auto"/>
      <w:ind w:left="828" w:hanging="360"/>
      <w:jc w:val="left"/>
    </w:pPr>
    <w:rPr>
      <w:rFonts w:ascii="Verdana" w:eastAsia="Verdana" w:hAnsi="Verdana" w:cs="Verdana"/>
      <w:lang w:val="en-US" w:eastAsia="en-US" w:bidi="en-US"/>
    </w:rPr>
  </w:style>
  <w:style w:type="paragraph" w:customStyle="1" w:styleId="Bullet3">
    <w:name w:val="Bullet 3"/>
    <w:basedOn w:val="Prrafodelista"/>
    <w:qFormat/>
    <w:rsid w:val="00796A25"/>
    <w:pPr>
      <w:numPr>
        <w:numId w:val="8"/>
      </w:numPr>
      <w:spacing w:before="120" w:after="120" w:line="240" w:lineRule="auto"/>
      <w:ind w:right="425"/>
    </w:pPr>
    <w:rPr>
      <w:rFonts w:ascii="Arial" w:hAnsi="Arial" w:cs="Arial"/>
      <w:i/>
      <w:iC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151023848">
      <w:bodyDiv w:val="1"/>
      <w:marLeft w:val="0"/>
      <w:marRight w:val="0"/>
      <w:marTop w:val="0"/>
      <w:marBottom w:val="0"/>
      <w:divBdr>
        <w:top w:val="none" w:sz="0" w:space="0" w:color="auto"/>
        <w:left w:val="none" w:sz="0" w:space="0" w:color="auto"/>
        <w:bottom w:val="none" w:sz="0" w:space="0" w:color="auto"/>
        <w:right w:val="none" w:sz="0" w:space="0" w:color="auto"/>
      </w:divBdr>
      <w:divsChild>
        <w:div w:id="1556813469">
          <w:marLeft w:val="0"/>
          <w:marRight w:val="0"/>
          <w:marTop w:val="0"/>
          <w:marBottom w:val="0"/>
          <w:divBdr>
            <w:top w:val="none" w:sz="0" w:space="0" w:color="auto"/>
            <w:left w:val="none" w:sz="0" w:space="0" w:color="auto"/>
            <w:bottom w:val="none" w:sz="0" w:space="0" w:color="auto"/>
            <w:right w:val="none" w:sz="0" w:space="0" w:color="auto"/>
          </w:divBdr>
          <w:divsChild>
            <w:div w:id="1401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4957">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243612593">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096785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258826718">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49037974">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17740403">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 w:id="2050521043">
      <w:bodyDiv w:val="1"/>
      <w:marLeft w:val="0"/>
      <w:marRight w:val="0"/>
      <w:marTop w:val="0"/>
      <w:marBottom w:val="0"/>
      <w:divBdr>
        <w:top w:val="none" w:sz="0" w:space="0" w:color="auto"/>
        <w:left w:val="none" w:sz="0" w:space="0" w:color="auto"/>
        <w:bottom w:val="none" w:sz="0" w:space="0" w:color="auto"/>
        <w:right w:val="none" w:sz="0" w:space="0" w:color="auto"/>
      </w:divBdr>
    </w:div>
    <w:div w:id="2090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8f5eee5a-9ea8-40f4-b073-016b459369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9A3B13E212864E85DFDA3D2BE791BD" ma:contentTypeVersion="16" ma:contentTypeDescription="Crear nuevo documento." ma:contentTypeScope="" ma:versionID="376c497c283b1f037ba6aefb805f46a9">
  <xsd:schema xmlns:xsd="http://www.w3.org/2001/XMLSchema" xmlns:xs="http://www.w3.org/2001/XMLSchema" xmlns:p="http://schemas.microsoft.com/office/2006/metadata/properties" xmlns:ns2="8f5eee5a-9ea8-40f4-b073-016b459369e1" xmlns:ns3="bc67ed7e-ce50-48fc-8055-e09abf489ae9" xmlns:ns4="c86f6395-7f4b-4d93-b493-5cee9a0689b6" targetNamespace="http://schemas.microsoft.com/office/2006/metadata/properties" ma:root="true" ma:fieldsID="08a175562b62aeae0fca705a606d50cd" ns2:_="" ns3:_="" ns4:_="">
    <xsd:import namespace="8f5eee5a-9ea8-40f4-b073-016b459369e1"/>
    <xsd:import namespace="bc67ed7e-ce50-48fc-8055-e09abf489ae9"/>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ee5a-9ea8-40f4-b073-016b4593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F8878-4D89-4CA1-BD2E-83D59B60A095}">
  <ds:schemaRefs>
    <ds:schemaRef ds:uri="http://schemas.microsoft.com/office/2006/metadata/properties"/>
    <ds:schemaRef ds:uri="http://schemas.microsoft.com/office/infopath/2007/PartnerControls"/>
    <ds:schemaRef ds:uri="9ff86dbf-5692-4d12-98fc-c0f63b1ffbdf"/>
    <ds:schemaRef ds:uri="65a4dd1d-88f4-4fb2-b089-14e796ed329f"/>
    <ds:schemaRef ds:uri="bc67ed7e-ce50-48fc-8055-e09abf489ae9"/>
    <ds:schemaRef ds:uri="8f5eee5a-9ea8-40f4-b073-016b459369e1"/>
  </ds:schemaRefs>
</ds:datastoreItem>
</file>

<file path=customXml/itemProps2.xml><?xml version="1.0" encoding="utf-8"?>
<ds:datastoreItem xmlns:ds="http://schemas.openxmlformats.org/officeDocument/2006/customXml" ds:itemID="{EA444608-98E4-4C79-9894-1C81BAD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ee5a-9ea8-40f4-b073-016b459369e1"/>
    <ds:schemaRef ds:uri="bc67ed7e-ce50-48fc-8055-e09abf489ae9"/>
    <ds:schemaRef ds:uri="c86f6395-7f4b-4d93-b493-5cee9a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DAFC2-924A-4BC8-9E32-56F70D25F02D}">
  <ds:schemaRefs>
    <ds:schemaRef ds:uri="http://schemas.openxmlformats.org/officeDocument/2006/bibliography"/>
  </ds:schemaRefs>
</ds:datastoreItem>
</file>

<file path=customXml/itemProps4.xml><?xml version="1.0" encoding="utf-8"?>
<ds:datastoreItem xmlns:ds="http://schemas.openxmlformats.org/officeDocument/2006/customXml" ds:itemID="{D014813C-0983-4EEC-A4C7-F6DF467B8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2070</Words>
  <Characters>11390</Characters>
  <Application>Microsoft Office Word</Application>
  <DocSecurity>0</DocSecurity>
  <Lines>94</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c:creator>
  <cp:lastModifiedBy>00  CI -Ignacio Román Pérez</cp:lastModifiedBy>
  <cp:revision>47</cp:revision>
  <cp:lastPrinted>2019-11-14T11:36:00Z</cp:lastPrinted>
  <dcterms:created xsi:type="dcterms:W3CDTF">2022-12-09T11:28:00Z</dcterms:created>
  <dcterms:modified xsi:type="dcterms:W3CDTF">2025-09-24T15:38:00Z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0x0101003C9A3B13E212864E85DFDA3D2BE791BD</vt:lpwstr>
  </property>
  <property fmtid="{D5CDD505-2E9C-101B-9397-08002B2CF9AE}" pid="3" name="MediaServiceImageTags">
    <vt:lpwstr/>
  </property>
</Properties>
</file>