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227"/>
        <w:tblW w:w="10201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01"/>
      </w:tblGrid>
      <w:tr w:rsidR="00B44C4F" w:rsidRPr="00BC0B4F" w14:paraId="076C544E" w14:textId="77777777" w:rsidTr="00A51D9D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3BB4F3" w14:textId="2ACD2483" w:rsidR="00B44C4F" w:rsidRPr="002D2507" w:rsidRDefault="00E21E21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shd w:val="clear" w:color="auto" w:fill="FFFF00"/>
              </w:rPr>
            </w:pPr>
            <w:r>
              <w:rPr>
                <w:rFonts w:ascii="Helvetica Light" w:hAnsi="Helvetica Light"/>
                <w:b/>
                <w:sz w:val="20"/>
              </w:rPr>
              <w:t>Nombre de la localidad: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9981D4" w14:textId="1AA79A0A" w:rsidR="00B44C4F" w:rsidRPr="002D2507" w:rsidRDefault="00B44C4F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</w:rPr>
            </w:pPr>
            <w:r>
              <w:rPr>
                <w:rFonts w:ascii="Helvetica Light" w:hAnsi="Helvetica Light"/>
                <w:b/>
                <w:sz w:val="20"/>
              </w:rPr>
              <w:t xml:space="preserve"> Nombre del o de la líder de la comunidad: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67AA7" w14:textId="26B7D2B1" w:rsidR="00B44C4F" w:rsidRPr="002D2507" w:rsidRDefault="00E21E21" w:rsidP="00B42ED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</w:rPr>
            </w:pPr>
            <w:r>
              <w:rPr>
                <w:rFonts w:ascii="Helvetica Light" w:hAnsi="Helvetica Light"/>
                <w:b/>
                <w:sz w:val="20"/>
              </w:rPr>
              <w:t>Teléfono del o de la líder de la comunidad:</w:t>
            </w:r>
          </w:p>
        </w:tc>
      </w:tr>
      <w:tr w:rsidR="00B44C4F" w:rsidRPr="00BC0B4F" w14:paraId="5EBCF86E" w14:textId="77777777" w:rsidTr="00A51D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1CBBA3" w14:textId="77624234" w:rsidR="00B44C4F" w:rsidRPr="004E050D" w:rsidRDefault="00AE79AE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b/>
                <w:sz w:val="20"/>
                <w:szCs w:val="20"/>
              </w:rPr>
            </w:pPr>
            <w:r w:rsidRPr="004E050D">
              <w:rPr>
                <w:rStyle w:val="shorttext"/>
                <w:rFonts w:ascii="Helvetica Light" w:hAnsi="Helvetica Light"/>
                <w:b/>
                <w:sz w:val="20"/>
              </w:rPr>
              <w:t xml:space="preserve">Entrevistador/a: </w:t>
            </w:r>
          </w:p>
          <w:p w14:paraId="0B571397" w14:textId="77777777" w:rsidR="00B44C4F" w:rsidRPr="004E050D" w:rsidRDefault="00B44C4F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b/>
                <w:sz w:val="20"/>
                <w:szCs w:val="20"/>
                <w:lang w:val="en-GB"/>
              </w:rPr>
            </w:pPr>
          </w:p>
          <w:p w14:paraId="26974440" w14:textId="77777777" w:rsidR="00B44C4F" w:rsidRPr="004E050D" w:rsidRDefault="00B44C4F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220E2A" w14:textId="3E8DF7D3" w:rsidR="00B44C4F" w:rsidRPr="00BC0B4F" w:rsidRDefault="004E5F10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Fecha:</w:t>
            </w:r>
          </w:p>
          <w:p w14:paraId="79861C99" w14:textId="77777777" w:rsidR="00B44C4F" w:rsidRPr="00BC0B4F" w:rsidRDefault="00B44C4F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A22D1" w14:textId="73BE7F1C" w:rsidR="008E08C1" w:rsidRPr="00BC0B4F" w:rsidRDefault="4AEC3C0A" w:rsidP="00B42ED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 xml:space="preserve">Hora: </w:t>
            </w:r>
          </w:p>
          <w:p w14:paraId="3742486F" w14:textId="5B2F6A43" w:rsidR="00B44C4F" w:rsidRPr="00BC0B4F" w:rsidRDefault="008E08C1" w:rsidP="00B42ED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Inicio de la entrevista:</w:t>
            </w:r>
          </w:p>
          <w:p w14:paraId="7E481D98" w14:textId="4ACE3217" w:rsidR="008E08C1" w:rsidRPr="00BC0B4F" w:rsidRDefault="008E08C1" w:rsidP="00B42ED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Fin de la entrevista:</w:t>
            </w:r>
          </w:p>
          <w:p w14:paraId="04E19FD2" w14:textId="63A2F970" w:rsidR="00B44C4F" w:rsidRPr="00BC0B4F" w:rsidRDefault="00B44C4F" w:rsidP="00B42ED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B44C4F" w:rsidRPr="00BC0B4F" w14:paraId="2C9DA3E9" w14:textId="77777777" w:rsidTr="00A51D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2A14A9" w14:textId="2E721867" w:rsidR="00B44C4F" w:rsidRPr="004E050D" w:rsidRDefault="4AEC3C0A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b/>
                <w:sz w:val="20"/>
                <w:szCs w:val="20"/>
              </w:rPr>
            </w:pPr>
            <w:r w:rsidRPr="004E050D">
              <w:rPr>
                <w:rFonts w:ascii="Helvetica Light" w:hAnsi="Helvetica Light"/>
                <w:b/>
                <w:sz w:val="20"/>
              </w:rPr>
              <w:t>Nombres de los informadores principales:</w:t>
            </w:r>
          </w:p>
          <w:p w14:paraId="6F676F95" w14:textId="77777777" w:rsidR="00B44C4F" w:rsidRPr="004E050D" w:rsidRDefault="00B44C4F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b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309F50" w14:textId="77777777" w:rsidR="00B44C4F" w:rsidRPr="00BC0B4F" w:rsidRDefault="00B44C4F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1.</w:t>
            </w:r>
          </w:p>
          <w:p w14:paraId="5A5CA763" w14:textId="77777777" w:rsidR="00B44C4F" w:rsidRPr="00BC0B4F" w:rsidRDefault="00B44C4F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2.</w:t>
            </w:r>
          </w:p>
          <w:p w14:paraId="06074270" w14:textId="740C784D" w:rsidR="00B44C4F" w:rsidRPr="00BC0B4F" w:rsidRDefault="00B44C4F" w:rsidP="00B42ED0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3.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8380" w14:textId="296DF4B0" w:rsidR="00B44C4F" w:rsidRPr="00BC0B4F" w:rsidRDefault="00C9594E" w:rsidP="00B42ED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Lugar de la entrevista:</w:t>
            </w:r>
          </w:p>
        </w:tc>
      </w:tr>
    </w:tbl>
    <w:p w14:paraId="34957438" w14:textId="55D88CFB" w:rsidR="0054638A" w:rsidRPr="00E03C40" w:rsidRDefault="25181BE1" w:rsidP="00780089">
      <w:pPr>
        <w:pStyle w:val="Ttulo1"/>
        <w:numPr>
          <w:ilvl w:val="0"/>
          <w:numId w:val="0"/>
        </w:numPr>
        <w:spacing w:before="0" w:after="0" w:line="276" w:lineRule="auto"/>
        <w:ind w:left="709" w:hanging="709"/>
        <w:jc w:val="center"/>
        <w:rPr>
          <w:rFonts w:ascii="Arial Nova Light" w:hAnsi="Arial Nova Light"/>
          <w:b/>
          <w:i/>
          <w:color w:val="E31A13"/>
          <w:sz w:val="36"/>
          <w:szCs w:val="36"/>
          <w:u w:val="single"/>
        </w:rPr>
      </w:pPr>
      <w:r w:rsidRPr="00E03C40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Guía para entrevistas con otros </w:t>
      </w:r>
    </w:p>
    <w:p w14:paraId="054F3AED" w14:textId="228D3E9D" w:rsidR="00374D03" w:rsidRPr="00E03C40" w:rsidRDefault="00851262" w:rsidP="00E03C40">
      <w:pPr>
        <w:pStyle w:val="Ttulo1"/>
        <w:numPr>
          <w:ilvl w:val="0"/>
          <w:numId w:val="0"/>
        </w:numPr>
        <w:spacing w:before="0" w:after="360" w:line="276" w:lineRule="auto"/>
        <w:ind w:left="709" w:hanging="709"/>
        <w:jc w:val="center"/>
        <w:rPr>
          <w:rFonts w:ascii="Arial Nova Light" w:hAnsi="Arial Nova Light"/>
          <w:b/>
          <w:i/>
          <w:color w:val="E31A13"/>
          <w:sz w:val="36"/>
          <w:szCs w:val="36"/>
          <w:u w:val="single"/>
        </w:rPr>
      </w:pPr>
      <w:r w:rsidRPr="00E03C40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a</w:t>
      </w:r>
      <w:r w:rsidR="0054638A" w:rsidRPr="00E03C40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ctores de la </w:t>
      </w:r>
      <w:r w:rsidRPr="00E03C40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c</w:t>
      </w:r>
      <w:r w:rsidR="0054638A" w:rsidRPr="00E03C40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o</w:t>
      </w:r>
      <w:r w:rsidR="25181BE1" w:rsidRPr="00E03C40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munidad</w:t>
      </w:r>
    </w:p>
    <w:p w14:paraId="225CE61C" w14:textId="77777777" w:rsidR="0054638A" w:rsidRPr="00E03C40" w:rsidRDefault="0054638A" w:rsidP="00A51D9D">
      <w:pPr>
        <w:pStyle w:val="Redcross0"/>
        <w:snapToGrid w:val="0"/>
        <w:spacing w:line="276" w:lineRule="auto"/>
        <w:rPr>
          <w:rFonts w:ascii="Arial Nova Light" w:hAnsi="Arial Nova Light" w:cs="Arial"/>
          <w:sz w:val="20"/>
          <w:szCs w:val="20"/>
        </w:rPr>
      </w:pPr>
    </w:p>
    <w:p w14:paraId="7D5B8C9C" w14:textId="6A9CF481" w:rsidR="00AE79AE" w:rsidRPr="00E03C40" w:rsidRDefault="0054638A" w:rsidP="004E050D">
      <w:pPr>
        <w:pStyle w:val="Redcross0"/>
        <w:snapToGrid w:val="0"/>
        <w:spacing w:after="240" w:line="276" w:lineRule="auto"/>
        <w:ind w:right="-466"/>
        <w:rPr>
          <w:rStyle w:val="Refdecomentario"/>
          <w:rFonts w:ascii="Arial Nova Light" w:hAnsi="Arial Nova Light" w:cs="Arial"/>
          <w:sz w:val="24"/>
          <w:szCs w:val="24"/>
        </w:rPr>
      </w:pPr>
      <w:r w:rsidRPr="00E03C40">
        <w:rPr>
          <w:rFonts w:ascii="Arial Nova Light" w:hAnsi="Arial Nova Light" w:cs="Arial"/>
          <w:sz w:val="24"/>
          <w:szCs w:val="24"/>
        </w:rPr>
        <w:t xml:space="preserve">Las </w:t>
      </w:r>
      <w:r w:rsidR="4AEC3C0A" w:rsidRPr="00E03C40">
        <w:rPr>
          <w:rFonts w:ascii="Arial Nova Light" w:hAnsi="Arial Nova Light" w:cs="Arial"/>
          <w:sz w:val="24"/>
          <w:szCs w:val="24"/>
        </w:rPr>
        <w:t xml:space="preserve">personas </w:t>
      </w:r>
      <w:r w:rsidRPr="00E03C40">
        <w:rPr>
          <w:rFonts w:ascii="Arial Nova Light" w:hAnsi="Arial Nova Light" w:cs="Arial"/>
          <w:sz w:val="24"/>
          <w:szCs w:val="24"/>
        </w:rPr>
        <w:t>de interés, o</w:t>
      </w:r>
      <w:bookmarkStart w:id="0" w:name="_GoBack"/>
      <w:bookmarkEnd w:id="0"/>
      <w:r w:rsidRPr="00E03C40">
        <w:rPr>
          <w:rFonts w:ascii="Arial Nova Light" w:hAnsi="Arial Nova Light" w:cs="Arial"/>
          <w:sz w:val="24"/>
          <w:szCs w:val="24"/>
        </w:rPr>
        <w:t xml:space="preserve"> informantes clave, para entrevistar dependerán de cada </w:t>
      </w:r>
      <w:r w:rsidRPr="004E48D2">
        <w:rPr>
          <w:rFonts w:ascii="Arial Nova Light" w:hAnsi="Arial Nova Light" w:cs="Arial"/>
          <w:b/>
          <w:sz w:val="24"/>
          <w:szCs w:val="24"/>
        </w:rPr>
        <w:t>contexto.</w:t>
      </w:r>
      <w:r w:rsidRPr="00E03C40">
        <w:rPr>
          <w:rFonts w:ascii="Arial Nova Light" w:hAnsi="Arial Nova Light" w:cs="Arial"/>
          <w:sz w:val="24"/>
          <w:szCs w:val="24"/>
        </w:rPr>
        <w:t xml:space="preserve"> Utilizar un </w:t>
      </w:r>
      <w:r w:rsidRPr="004E48D2">
        <w:rPr>
          <w:rFonts w:ascii="Arial Nova Light" w:hAnsi="Arial Nova Light" w:cs="Arial"/>
          <w:b/>
          <w:sz w:val="24"/>
          <w:szCs w:val="24"/>
        </w:rPr>
        <w:t>documento independiente</w:t>
      </w:r>
      <w:r w:rsidRPr="00E03C40">
        <w:rPr>
          <w:rFonts w:ascii="Arial Nova Light" w:hAnsi="Arial Nova Light" w:cs="Arial"/>
          <w:sz w:val="24"/>
          <w:szCs w:val="24"/>
        </w:rPr>
        <w:t xml:space="preserve"> para recoger la información de cada informante.</w:t>
      </w:r>
      <w:r w:rsidR="4AEC3C0A" w:rsidRPr="00E03C40">
        <w:rPr>
          <w:rFonts w:ascii="Arial Nova Light" w:hAnsi="Arial Nova Light" w:cs="Arial"/>
          <w:sz w:val="24"/>
          <w:szCs w:val="24"/>
        </w:rPr>
        <w:t xml:space="preserve"> 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AE79AE" w:rsidRPr="00E03C40" w14:paraId="7A70822D" w14:textId="77777777" w:rsidTr="004E050D">
        <w:trPr>
          <w:trHeight w:val="602"/>
        </w:trPr>
        <w:tc>
          <w:tcPr>
            <w:tcW w:w="3256" w:type="dxa"/>
          </w:tcPr>
          <w:p w14:paraId="08E2BCB3" w14:textId="77777777" w:rsidR="00AE79AE" w:rsidRPr="00E03C40" w:rsidRDefault="00AE79AE" w:rsidP="0063021F">
            <w:pPr>
              <w:pStyle w:val="Redcross0"/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945" w:type="dxa"/>
          </w:tcPr>
          <w:p w14:paraId="7D6DDAD1" w14:textId="253A8319" w:rsidR="00AE79AE" w:rsidRPr="00E03C40" w:rsidRDefault="00AE79AE" w:rsidP="004E48D2">
            <w:pPr>
              <w:pStyle w:val="Redcross0"/>
              <w:snapToGrid w:val="0"/>
              <w:spacing w:before="120" w:after="120"/>
              <w:ind w:left="316"/>
              <w:rPr>
                <w:rStyle w:val="Refdecomentario"/>
                <w:rFonts w:ascii="Arial Nova Light" w:hAnsi="Arial Nova Light"/>
                <w:b/>
                <w:bCs/>
                <w:sz w:val="24"/>
                <w:szCs w:val="24"/>
              </w:rPr>
            </w:pPr>
            <w:r w:rsidRPr="00E03C40">
              <w:rPr>
                <w:rFonts w:ascii="Arial Nova Light" w:hAnsi="Arial Nova Light"/>
                <w:b/>
                <w:sz w:val="24"/>
                <w:szCs w:val="24"/>
              </w:rPr>
              <w:t>Posibles preguntas</w:t>
            </w:r>
          </w:p>
        </w:tc>
      </w:tr>
      <w:tr w:rsidR="00AE79AE" w:rsidRPr="00E03C40" w14:paraId="2D55BCBC" w14:textId="77777777" w:rsidTr="00A51D9D">
        <w:tc>
          <w:tcPr>
            <w:tcW w:w="3256" w:type="dxa"/>
          </w:tcPr>
          <w:p w14:paraId="493EFB19" w14:textId="4E022AFB" w:rsidR="00AE79AE" w:rsidRPr="00E03C40" w:rsidRDefault="00E03C40" w:rsidP="0063021F">
            <w:pPr>
              <w:pStyle w:val="Redcross0"/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4"/>
                <w:szCs w:val="24"/>
              </w:rPr>
            </w:pPr>
            <w:r w:rsidRPr="00E03C40">
              <w:rPr>
                <w:rStyle w:val="Refdecomentario"/>
                <w:rFonts w:ascii="Arial Nova Light" w:hAnsi="Arial Nova Light"/>
                <w:sz w:val="24"/>
                <w:szCs w:val="24"/>
              </w:rPr>
              <w:t>Panader</w:t>
            </w:r>
            <w:r>
              <w:rPr>
                <w:rStyle w:val="Refdecomentario"/>
                <w:rFonts w:ascii="Arial Nova Light" w:hAnsi="Arial Nova Light"/>
                <w:sz w:val="24"/>
                <w:szCs w:val="24"/>
              </w:rPr>
              <w:t>ía</w:t>
            </w:r>
            <w:r w:rsidRPr="00E03C40">
              <w:rPr>
                <w:rStyle w:val="Refdecomentario"/>
                <w:rFonts w:ascii="Arial Nova Light" w:hAnsi="Arial Nova Light"/>
                <w:sz w:val="24"/>
                <w:szCs w:val="24"/>
              </w:rPr>
              <w:t xml:space="preserve"> /molin</w:t>
            </w:r>
            <w:r>
              <w:rPr>
                <w:rStyle w:val="Refdecomentario"/>
                <w:rFonts w:ascii="Arial Nova Light" w:hAnsi="Arial Nova Light"/>
                <w:sz w:val="24"/>
                <w:szCs w:val="24"/>
              </w:rPr>
              <w:t xml:space="preserve">o </w:t>
            </w:r>
            <w:r w:rsidR="004E48D2">
              <w:rPr>
                <w:rStyle w:val="Refdecomentario"/>
                <w:rFonts w:ascii="Arial Nova Light" w:hAnsi="Arial Nova Light"/>
                <w:sz w:val="24"/>
                <w:szCs w:val="24"/>
              </w:rPr>
              <w:t>(otro según el contexto local)</w:t>
            </w:r>
          </w:p>
        </w:tc>
        <w:tc>
          <w:tcPr>
            <w:tcW w:w="6945" w:type="dxa"/>
          </w:tcPr>
          <w:p w14:paraId="2197B2B3" w14:textId="53AF507F" w:rsidR="00AE79AE" w:rsidRPr="00E03C40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Servicios ofrecidos</w:t>
            </w:r>
          </w:p>
          <w:p w14:paraId="20AD2F2B" w14:textId="2D527503" w:rsidR="00AE79AE" w:rsidRPr="00E03C40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Precios de los servicios y modalidades de pago</w:t>
            </w:r>
          </w:p>
          <w:p w14:paraId="784D2C4B" w14:textId="4F5FAD69" w:rsidR="00733866" w:rsidRPr="00E03C40" w:rsidRDefault="00733866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Origen de los productos</w:t>
            </w:r>
          </w:p>
          <w:p w14:paraId="1C79B180" w14:textId="08C0C5F5" w:rsidR="00AE79AE" w:rsidRPr="00E03C40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Condiciones de crédito</w:t>
            </w:r>
          </w:p>
          <w:p w14:paraId="5E215DE4" w14:textId="3749B0E3" w:rsidR="00AE79AE" w:rsidRPr="00E03C40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Fluctuaciones estacionales del volumen de trabajo y sus causas</w:t>
            </w:r>
          </w:p>
          <w:p w14:paraId="41E7EF6D" w14:textId="77777777" w:rsidR="00AE79AE" w:rsidRPr="00E03C40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Características de los principales clientes (hombres, mujeres…)</w:t>
            </w:r>
          </w:p>
          <w:p w14:paraId="24C3EB9C" w14:textId="77777777" w:rsidR="00733866" w:rsidRPr="00E03C40" w:rsidRDefault="00733866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Lo que necesita la gente para aumentar el uso del servicio</w:t>
            </w:r>
          </w:p>
          <w:p w14:paraId="1033C693" w14:textId="2A1F02FA" w:rsidR="00733866" w:rsidRPr="00E03C40" w:rsidRDefault="00733866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Existencia de servicios similares en la comunidad</w:t>
            </w:r>
          </w:p>
        </w:tc>
      </w:tr>
      <w:tr w:rsidR="00AE79AE" w:rsidRPr="00E03C40" w14:paraId="4C3B55BA" w14:textId="77777777" w:rsidTr="00A51D9D">
        <w:tc>
          <w:tcPr>
            <w:tcW w:w="3256" w:type="dxa"/>
          </w:tcPr>
          <w:p w14:paraId="4D364F23" w14:textId="607044F9" w:rsidR="00AE79AE" w:rsidRPr="00E03C40" w:rsidRDefault="00851262" w:rsidP="0063021F">
            <w:pPr>
              <w:pStyle w:val="Redcross0"/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4"/>
                <w:szCs w:val="24"/>
              </w:rPr>
            </w:pPr>
            <w:r w:rsidRPr="00E03C40">
              <w:rPr>
                <w:rFonts w:ascii="Arial Nova Light" w:hAnsi="Arial Nova Light"/>
                <w:sz w:val="24"/>
                <w:szCs w:val="24"/>
              </w:rPr>
              <w:t>Comerci</w:t>
            </w:r>
            <w:r w:rsidR="00E03C40">
              <w:rPr>
                <w:rFonts w:ascii="Arial Nova Light" w:hAnsi="Arial Nova Light"/>
                <w:sz w:val="24"/>
                <w:szCs w:val="24"/>
              </w:rPr>
              <w:t>o</w:t>
            </w:r>
          </w:p>
        </w:tc>
        <w:tc>
          <w:tcPr>
            <w:tcW w:w="6945" w:type="dxa"/>
          </w:tcPr>
          <w:p w14:paraId="1892AC36" w14:textId="36B692D9" w:rsidR="00733866" w:rsidRPr="00E03C40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Tipo de productos que ofrece</w:t>
            </w:r>
          </w:p>
          <w:p w14:paraId="4DE54DB0" w14:textId="2B5091B8" w:rsidR="00733866" w:rsidRPr="00E03C40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 xml:space="preserve">Origen de los productos y frecuencia de suministro </w:t>
            </w:r>
          </w:p>
          <w:p w14:paraId="7EBE725B" w14:textId="363D57C8" w:rsidR="00733866" w:rsidRPr="00E03C40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Acceso al crédito</w:t>
            </w:r>
          </w:p>
          <w:p w14:paraId="754FA36B" w14:textId="77777777" w:rsidR="00733866" w:rsidRPr="00E03C40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 xml:space="preserve">Modalidades de pago </w:t>
            </w:r>
          </w:p>
          <w:p w14:paraId="70E22A02" w14:textId="0B3D3B48" w:rsidR="00733866" w:rsidRPr="00E03C40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Condiciones de crédito para la clientela</w:t>
            </w:r>
          </w:p>
          <w:p w14:paraId="2F727D19" w14:textId="7CCF49A8" w:rsidR="00733866" w:rsidRPr="00E03C40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Fluctuaciones estacionales de las ventas y sus causas</w:t>
            </w:r>
          </w:p>
          <w:p w14:paraId="0EF9C7D1" w14:textId="7E281306" w:rsidR="00733866" w:rsidRPr="00E03C40" w:rsidRDefault="4AEC3C0A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Características de los principales clientes (hombres, mujeres…)</w:t>
            </w:r>
          </w:p>
          <w:p w14:paraId="2EF73E64" w14:textId="1F734A8F" w:rsidR="00AE79AE" w:rsidRPr="00E03C40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Lo que necesita la gente para aumentar el uso del servicio</w:t>
            </w:r>
          </w:p>
          <w:p w14:paraId="3786DF90" w14:textId="2CB67813" w:rsidR="00AE79AE" w:rsidRPr="00E03C40" w:rsidRDefault="4AEC3C0A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Existencia de servicios similares u otros negocios en la comunidad</w:t>
            </w:r>
          </w:p>
        </w:tc>
      </w:tr>
      <w:tr w:rsidR="00733866" w:rsidRPr="00E03C40" w14:paraId="23C73F27" w14:textId="77777777" w:rsidTr="00A51D9D">
        <w:tc>
          <w:tcPr>
            <w:tcW w:w="3256" w:type="dxa"/>
          </w:tcPr>
          <w:p w14:paraId="24DD16D7" w14:textId="77777777" w:rsidR="00733866" w:rsidRPr="00E03C40" w:rsidRDefault="00733866" w:rsidP="0063021F">
            <w:pPr>
              <w:pStyle w:val="Redcross0"/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lastRenderedPageBreak/>
              <w:t>Asociación de mayores/ representante de las personas mayores</w:t>
            </w:r>
          </w:p>
          <w:p w14:paraId="1B54A62D" w14:textId="77777777" w:rsidR="00733866" w:rsidRPr="00E03C40" w:rsidRDefault="00733866" w:rsidP="0063021F">
            <w:pPr>
              <w:pStyle w:val="Redcross0"/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6945" w:type="dxa"/>
          </w:tcPr>
          <w:p w14:paraId="50C1FD10" w14:textId="6E10F22A" w:rsidR="00733866" w:rsidRPr="00E03C40" w:rsidRDefault="4AEC3C0A" w:rsidP="0063021F">
            <w:pPr>
              <w:pStyle w:val="Redcross0"/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Conversar sobre el perfil histórico de la comunidad, incluyendo:</w:t>
            </w:r>
          </w:p>
          <w:p w14:paraId="3D16292D" w14:textId="2CCC827E" w:rsidR="00733866" w:rsidRPr="00E03C40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Cambios en las actividades de medios de vida</w:t>
            </w:r>
          </w:p>
          <w:p w14:paraId="16367F70" w14:textId="670C4C21" w:rsidR="00733866" w:rsidRPr="00E03C40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Cambios en las estrategias de supervivencia</w:t>
            </w:r>
          </w:p>
          <w:p w14:paraId="43C3A83B" w14:textId="2669909B" w:rsidR="00733866" w:rsidRPr="00E03C40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 xml:space="preserve">Principales peligros </w:t>
            </w:r>
          </w:p>
          <w:p w14:paraId="4419B048" w14:textId="636D148B" w:rsidR="00733866" w:rsidRPr="00E03C40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Principales eventos históricos</w:t>
            </w:r>
          </w:p>
          <w:p w14:paraId="288C939F" w14:textId="5D49F415" w:rsidR="00733866" w:rsidRPr="00E03C40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 xml:space="preserve">Cambios en los roles de género </w:t>
            </w:r>
          </w:p>
          <w:p w14:paraId="34080FF5" w14:textId="6385E915" w:rsidR="00733866" w:rsidRPr="00E03C40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 xml:space="preserve">Asistencia externa recibida por la comunidad (ONG internacional, </w:t>
            </w:r>
            <w:r w:rsidR="00FA1EAA" w:rsidRPr="00E03C40">
              <w:rPr>
                <w:rFonts w:ascii="Arial Nova Light" w:hAnsi="Arial Nova Light"/>
                <w:sz w:val="22"/>
              </w:rPr>
              <w:t>g</w:t>
            </w:r>
            <w:r w:rsidRPr="00E03C40">
              <w:rPr>
                <w:rFonts w:ascii="Arial Nova Light" w:hAnsi="Arial Nova Light"/>
                <w:sz w:val="22"/>
              </w:rPr>
              <w:t>obierno…)</w:t>
            </w:r>
          </w:p>
          <w:p w14:paraId="1977CB84" w14:textId="77777777" w:rsidR="00733866" w:rsidRPr="00E03C40" w:rsidRDefault="00733866" w:rsidP="0063021F">
            <w:pPr>
              <w:pStyle w:val="Redcross0"/>
              <w:snapToGrid w:val="0"/>
              <w:spacing w:before="120" w:after="1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</w:p>
        </w:tc>
      </w:tr>
      <w:tr w:rsidR="00733866" w:rsidRPr="00E03C40" w14:paraId="4F290C86" w14:textId="77777777" w:rsidTr="00A51D9D">
        <w:tc>
          <w:tcPr>
            <w:tcW w:w="3256" w:type="dxa"/>
          </w:tcPr>
          <w:p w14:paraId="3458F1A3" w14:textId="22CFBD10" w:rsidR="00733866" w:rsidRPr="00E03C40" w:rsidRDefault="4AEC3C0A" w:rsidP="00A51D9D">
            <w:pPr>
              <w:pStyle w:val="Redcross0"/>
              <w:snapToGrid w:val="0"/>
              <w:spacing w:before="120" w:after="120"/>
              <w:rPr>
                <w:rStyle w:val="Refdecomentario"/>
                <w:rFonts w:ascii="Arial Nova Light" w:hAnsi="Arial Nova Light"/>
                <w:i/>
                <w:iCs/>
                <w:sz w:val="22"/>
                <w:szCs w:val="22"/>
              </w:rPr>
            </w:pPr>
            <w:r w:rsidRPr="00E03C40">
              <w:rPr>
                <w:rFonts w:ascii="Arial Nova Light" w:hAnsi="Arial Nova Light"/>
                <w:sz w:val="22"/>
              </w:rPr>
              <w:t>Otros: Asociación juvenil o representante de la juventud, grupos de ahorro, asociación de agricultores, asociación comunitaria, banco de alimentos, etc.</w:t>
            </w:r>
          </w:p>
          <w:p w14:paraId="2DCE777D" w14:textId="77777777" w:rsidR="00733866" w:rsidRPr="00E03C40" w:rsidRDefault="00733866" w:rsidP="0063021F">
            <w:pPr>
              <w:pStyle w:val="Redcross0"/>
              <w:snapToGrid w:val="0"/>
              <w:spacing w:before="120" w:after="120"/>
              <w:rPr>
                <w:rStyle w:val="Refdecomentario"/>
                <w:rFonts w:ascii="Arial Nova Light" w:hAnsi="Arial Nova Light"/>
                <w:i/>
                <w:iCs/>
                <w:sz w:val="22"/>
                <w:szCs w:val="22"/>
              </w:rPr>
            </w:pPr>
          </w:p>
        </w:tc>
        <w:tc>
          <w:tcPr>
            <w:tcW w:w="6945" w:type="dxa"/>
          </w:tcPr>
          <w:p w14:paraId="0235FC15" w14:textId="77777777" w:rsidR="00733866" w:rsidRPr="00E03C40" w:rsidRDefault="00733866" w:rsidP="0063021F">
            <w:pPr>
              <w:pStyle w:val="Redcross0"/>
              <w:snapToGrid w:val="0"/>
              <w:spacing w:before="120" w:after="120"/>
              <w:ind w:left="7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</w:p>
          <w:p w14:paraId="6C146AA6" w14:textId="77777777" w:rsidR="00733866" w:rsidRPr="00E03C40" w:rsidRDefault="00733866" w:rsidP="0063021F">
            <w:pPr>
              <w:pStyle w:val="Redcross0"/>
              <w:snapToGrid w:val="0"/>
              <w:spacing w:before="120" w:after="120"/>
              <w:ind w:left="7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</w:p>
          <w:p w14:paraId="64CAB25A" w14:textId="1A0D42B6" w:rsidR="00733866" w:rsidRPr="00E03C40" w:rsidRDefault="00733866" w:rsidP="0063021F">
            <w:pPr>
              <w:pStyle w:val="Redcross0"/>
              <w:snapToGrid w:val="0"/>
              <w:spacing w:before="120" w:after="120"/>
              <w:ind w:left="720"/>
              <w:rPr>
                <w:rStyle w:val="Refdecomentario"/>
                <w:rFonts w:ascii="Arial Nova Light" w:hAnsi="Arial Nova Light"/>
                <w:sz w:val="22"/>
                <w:szCs w:val="22"/>
              </w:rPr>
            </w:pPr>
          </w:p>
        </w:tc>
      </w:tr>
    </w:tbl>
    <w:p w14:paraId="0BA16CAC" w14:textId="77777777" w:rsidR="00351F9A" w:rsidRPr="00E03C40" w:rsidRDefault="00351F9A" w:rsidP="00E03C40">
      <w:pPr>
        <w:pStyle w:val="Redcross0"/>
        <w:snapToGrid w:val="0"/>
        <w:spacing w:before="120" w:after="120"/>
        <w:rPr>
          <w:rFonts w:ascii="Arial Nova Light" w:hAnsi="Arial Nova Light"/>
          <w:sz w:val="24"/>
          <w:szCs w:val="24"/>
        </w:rPr>
      </w:pPr>
    </w:p>
    <w:sectPr w:rsidR="00351F9A" w:rsidRPr="00E03C40" w:rsidSect="00051C65">
      <w:headerReference w:type="default" r:id="rId10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86416" w14:textId="77777777" w:rsidR="00962C8D" w:rsidRDefault="00962C8D" w:rsidP="00B44C4F">
      <w:r>
        <w:separator/>
      </w:r>
    </w:p>
  </w:endnote>
  <w:endnote w:type="continuationSeparator" w:id="0">
    <w:p w14:paraId="6CE01464" w14:textId="77777777" w:rsidR="00962C8D" w:rsidRDefault="00962C8D" w:rsidP="00B4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F4AEF" w14:textId="77777777" w:rsidR="00962C8D" w:rsidRDefault="00962C8D" w:rsidP="00B44C4F">
      <w:r>
        <w:separator/>
      </w:r>
    </w:p>
  </w:footnote>
  <w:footnote w:type="continuationSeparator" w:id="0">
    <w:p w14:paraId="10DAAD2E" w14:textId="77777777" w:rsidR="00962C8D" w:rsidRDefault="00962C8D" w:rsidP="00B4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607E9" w14:textId="35B779D1" w:rsidR="003849B9" w:rsidRPr="004E5F10" w:rsidRDefault="00D7370C" w:rsidP="00913B97">
    <w:pPr>
      <w:jc w:val="center"/>
      <w:rPr>
        <w:sz w:val="28"/>
        <w:szCs w:val="28"/>
      </w:rPr>
    </w:pPr>
    <w:r>
      <w:rPr>
        <w:rFonts w:ascii="HELVETICA BOLD OBLIQUE" w:hAnsi="HELVETICA BOLD OBLIQUE"/>
        <w:b/>
        <w:i/>
        <w:color w:val="E31A13"/>
      </w:rPr>
      <w:t xml:space="preserve">Entrevistas con </w:t>
    </w:r>
    <w:r w:rsidR="0054638A">
      <w:rPr>
        <w:rFonts w:ascii="HELVETICA BOLD OBLIQUE" w:hAnsi="HELVETICA BOLD OBLIQUE"/>
        <w:b/>
        <w:i/>
        <w:color w:val="E31A13"/>
      </w:rPr>
      <w:t>I</w:t>
    </w:r>
    <w:r>
      <w:rPr>
        <w:rFonts w:ascii="HELVETICA BOLD OBLIQUE" w:hAnsi="HELVETICA BOLD OBLIQUE"/>
        <w:b/>
        <w:i/>
        <w:color w:val="E31A13"/>
      </w:rPr>
      <w:t xml:space="preserve">nformantes </w:t>
    </w:r>
    <w:r w:rsidR="0054638A">
      <w:rPr>
        <w:rFonts w:ascii="HELVETICA BOLD OBLIQUE" w:hAnsi="HELVETICA BOLD OBLIQUE"/>
        <w:b/>
        <w:i/>
        <w:color w:val="E31A13"/>
      </w:rPr>
      <w:t>C</w:t>
    </w:r>
    <w:r>
      <w:rPr>
        <w:rFonts w:ascii="HELVETICA BOLD OBLIQUE" w:hAnsi="HELVETICA BOLD OBLIQUE"/>
        <w:b/>
        <w:i/>
        <w:color w:val="E31A13"/>
      </w:rPr>
      <w:t>lave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0A1B"/>
    <w:multiLevelType w:val="hybridMultilevel"/>
    <w:tmpl w:val="5580901E"/>
    <w:lvl w:ilvl="0" w:tplc="0D7CB67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F1C"/>
    <w:multiLevelType w:val="hybridMultilevel"/>
    <w:tmpl w:val="DCE4C726"/>
    <w:lvl w:ilvl="0" w:tplc="A052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D46E7"/>
    <w:multiLevelType w:val="hybridMultilevel"/>
    <w:tmpl w:val="B972F064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501D"/>
    <w:multiLevelType w:val="hybridMultilevel"/>
    <w:tmpl w:val="29EC9B6A"/>
    <w:lvl w:ilvl="0" w:tplc="50CC3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07291"/>
    <w:multiLevelType w:val="hybridMultilevel"/>
    <w:tmpl w:val="A30A5BA4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D5729"/>
    <w:multiLevelType w:val="hybridMultilevel"/>
    <w:tmpl w:val="0D364AEE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30F0F"/>
    <w:multiLevelType w:val="hybridMultilevel"/>
    <w:tmpl w:val="A9CC7D08"/>
    <w:lvl w:ilvl="0" w:tplc="A052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91EF3"/>
    <w:multiLevelType w:val="hybridMultilevel"/>
    <w:tmpl w:val="256ACF50"/>
    <w:lvl w:ilvl="0" w:tplc="E81C32B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D4ECB"/>
    <w:multiLevelType w:val="hybridMultilevel"/>
    <w:tmpl w:val="86EC7A4E"/>
    <w:lvl w:ilvl="0" w:tplc="4C8E341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67805"/>
    <w:multiLevelType w:val="hybridMultilevel"/>
    <w:tmpl w:val="4A4233B8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1D60"/>
    <w:multiLevelType w:val="hybridMultilevel"/>
    <w:tmpl w:val="DDB61B26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9A"/>
    <w:rsid w:val="00051C65"/>
    <w:rsid w:val="000A2D3B"/>
    <w:rsid w:val="00102217"/>
    <w:rsid w:val="001977AB"/>
    <w:rsid w:val="001C0991"/>
    <w:rsid w:val="001D4971"/>
    <w:rsid w:val="002D2507"/>
    <w:rsid w:val="00351F9A"/>
    <w:rsid w:val="00374D03"/>
    <w:rsid w:val="003849B9"/>
    <w:rsid w:val="00406890"/>
    <w:rsid w:val="004E050D"/>
    <w:rsid w:val="004E48D2"/>
    <w:rsid w:val="004E5F10"/>
    <w:rsid w:val="0052725C"/>
    <w:rsid w:val="0054638A"/>
    <w:rsid w:val="005827CD"/>
    <w:rsid w:val="0063021F"/>
    <w:rsid w:val="006558E9"/>
    <w:rsid w:val="007202FD"/>
    <w:rsid w:val="00733866"/>
    <w:rsid w:val="00780089"/>
    <w:rsid w:val="007B70AC"/>
    <w:rsid w:val="00830780"/>
    <w:rsid w:val="00851262"/>
    <w:rsid w:val="00856C37"/>
    <w:rsid w:val="008B204E"/>
    <w:rsid w:val="008E08C1"/>
    <w:rsid w:val="008E1F93"/>
    <w:rsid w:val="00900984"/>
    <w:rsid w:val="00913B97"/>
    <w:rsid w:val="00962C8D"/>
    <w:rsid w:val="0097353D"/>
    <w:rsid w:val="00A21E1B"/>
    <w:rsid w:val="00A43E38"/>
    <w:rsid w:val="00A51D9D"/>
    <w:rsid w:val="00AD1C61"/>
    <w:rsid w:val="00AE79AE"/>
    <w:rsid w:val="00AF075B"/>
    <w:rsid w:val="00B42ED0"/>
    <w:rsid w:val="00B44C4F"/>
    <w:rsid w:val="00B95CAD"/>
    <w:rsid w:val="00BC0B4F"/>
    <w:rsid w:val="00BD6045"/>
    <w:rsid w:val="00C66C4E"/>
    <w:rsid w:val="00C9594E"/>
    <w:rsid w:val="00CE11C0"/>
    <w:rsid w:val="00CF7862"/>
    <w:rsid w:val="00D70121"/>
    <w:rsid w:val="00D7370C"/>
    <w:rsid w:val="00DC4FFE"/>
    <w:rsid w:val="00E03C40"/>
    <w:rsid w:val="00E21E21"/>
    <w:rsid w:val="00E37862"/>
    <w:rsid w:val="00FA1555"/>
    <w:rsid w:val="00FA1EAA"/>
    <w:rsid w:val="00FA73BB"/>
    <w:rsid w:val="00FB6D4F"/>
    <w:rsid w:val="25181BE1"/>
    <w:rsid w:val="4AEC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46C9C"/>
  <w15:docId w15:val="{B209FE42-FC23-49AE-856D-490938C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4D03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F9A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6558E9"/>
    <w:rPr>
      <w:rFonts w:ascii="Arial" w:hAnsi="Arial" w:cs="Arial"/>
      <w:sz w:val="28"/>
      <w:szCs w:val="32"/>
    </w:rPr>
  </w:style>
  <w:style w:type="paragraph" w:customStyle="1" w:styleId="Redcross0">
    <w:name w:val="Redcross"/>
    <w:basedOn w:val="Normal"/>
    <w:qFormat/>
    <w:rsid w:val="006558E9"/>
    <w:rPr>
      <w:rFonts w:ascii="Arial" w:hAnsi="Arial"/>
      <w:sz w:val="28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B44C4F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C4F"/>
    <w:rPr>
      <w:lang w:val="es-ES"/>
    </w:rPr>
  </w:style>
  <w:style w:type="paragraph" w:customStyle="1" w:styleId="Default">
    <w:name w:val="Default"/>
    <w:qFormat/>
    <w:rsid w:val="00B44C4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44C4F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C4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C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C4F"/>
    <w:rPr>
      <w:rFonts w:ascii="Tahoma" w:hAnsi="Tahoma" w:cs="Tahoma"/>
      <w:sz w:val="16"/>
      <w:szCs w:val="16"/>
      <w:lang w:val="es-ES"/>
    </w:rPr>
  </w:style>
  <w:style w:type="character" w:customStyle="1" w:styleId="shorttext">
    <w:name w:val="short_text"/>
    <w:basedOn w:val="Fuentedeprrafopredeter"/>
    <w:rsid w:val="008E08C1"/>
  </w:style>
  <w:style w:type="character" w:styleId="Refdecomentario">
    <w:name w:val="annotation reference"/>
    <w:basedOn w:val="Fuentedeprrafopredeter"/>
    <w:uiPriority w:val="99"/>
    <w:semiHidden/>
    <w:unhideWhenUsed/>
    <w:rsid w:val="007202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02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02FD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2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2FD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AE79AE"/>
  </w:style>
  <w:style w:type="table" w:styleId="Tablaconcuadrcula">
    <w:name w:val="Table Grid"/>
    <w:basedOn w:val="Tablanormal"/>
    <w:uiPriority w:val="39"/>
    <w:rsid w:val="00AE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74D03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F2D49CED201458DCA3BE3E07613FD" ma:contentTypeVersion="13" ma:contentTypeDescription="Crear nuevo documento." ma:contentTypeScope="" ma:versionID="5cb8ad25aa51bb00cc59737170a6c029">
  <xsd:schema xmlns:xsd="http://www.w3.org/2001/XMLSchema" xmlns:xs="http://www.w3.org/2001/XMLSchema" xmlns:p="http://schemas.microsoft.com/office/2006/metadata/properties" xmlns:ns3="0cadf8ea-e712-46b5-8379-6f15512813eb" xmlns:ns4="160e3dfe-2344-4694-b91e-7c4565f30e83" targetNamespace="http://schemas.microsoft.com/office/2006/metadata/properties" ma:root="true" ma:fieldsID="80ac847989c025b7fc7ae3602dd4d51c" ns3:_="" ns4:_="">
    <xsd:import namespace="0cadf8ea-e712-46b5-8379-6f15512813eb"/>
    <xsd:import namespace="160e3dfe-2344-4694-b91e-7c4565f30e8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df8ea-e712-46b5-8379-6f15512813e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3dfe-2344-4694-b91e-7c4565f30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39DB0-010B-473D-AC6E-66DFCAD1F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df8ea-e712-46b5-8379-6f15512813eb"/>
    <ds:schemaRef ds:uri="160e3dfe-2344-4694-b91e-7c4565f30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04FBB-34F1-4FAC-A339-32923E26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F0FAA-1AC0-40F0-9D1D-3C12BF90A2E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60e3dfe-2344-4694-b91e-7c4565f30e83"/>
    <ds:schemaRef ds:uri="0cadf8ea-e712-46b5-8379-6f15512813eb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 -María Baquedano Latorre</dc:creator>
  <cp:keywords/>
  <dc:description/>
  <cp:lastModifiedBy>00  CI -María Baquedano Latorre</cp:lastModifiedBy>
  <cp:revision>9</cp:revision>
  <cp:lastPrinted>2021-05-03T08:42:00Z</cp:lastPrinted>
  <dcterms:created xsi:type="dcterms:W3CDTF">2021-05-17T11:07:00Z</dcterms:created>
  <dcterms:modified xsi:type="dcterms:W3CDTF">2021-06-02T11:43:00Z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0x0101004A5F2D49CED201458DCA3BE3E07613FD</vt:lpwstr>
  </property>
</Properties>
</file>