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73FA" w14:textId="4CE55E59" w:rsidR="00BE5470" w:rsidRPr="007527C3" w:rsidRDefault="00861802" w:rsidP="00BE5470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hAnsi="Helvetica"/>
          <w:b/>
          <w:color w:val="E31A13"/>
          <w:sz w:val="40"/>
          <w:szCs w:val="40"/>
          <w:lang w:val="fr-FR"/>
        </w:rPr>
      </w:pPr>
      <w:bookmarkStart w:id="0" w:name="_Hlk86417953"/>
      <w:r w:rsidRPr="00861802">
        <w:rPr>
          <w:rFonts w:ascii="Helvetica" w:hAnsi="Helvetica"/>
          <w:b/>
          <w:color w:val="E31A13"/>
          <w:sz w:val="40"/>
          <w:szCs w:val="40"/>
          <w:lang w:val="fr-FR"/>
        </w:rPr>
        <w:t xml:space="preserve">Modèle </w:t>
      </w:r>
      <w:bookmarkEnd w:id="0"/>
      <w:r w:rsidRPr="00861802">
        <w:rPr>
          <w:rFonts w:ascii="Helvetica" w:hAnsi="Helvetica"/>
          <w:b/>
          <w:color w:val="E31A13"/>
          <w:sz w:val="40"/>
          <w:szCs w:val="40"/>
          <w:lang w:val="fr-FR"/>
        </w:rPr>
        <w:t xml:space="preserve">de rapport </w:t>
      </w:r>
      <w:r w:rsidR="007527C3" w:rsidRPr="007527C3">
        <w:rPr>
          <w:rFonts w:ascii="Helvetica" w:hAnsi="Helvetica"/>
          <w:b/>
          <w:color w:val="E31A13"/>
          <w:sz w:val="40"/>
          <w:szCs w:val="40"/>
          <w:lang w:val="fr-FR"/>
        </w:rPr>
        <w:t>d'une analyse HES</w:t>
      </w:r>
    </w:p>
    <w:tbl>
      <w:tblPr>
        <w:tblW w:w="1005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"/>
        <w:gridCol w:w="2346"/>
        <w:gridCol w:w="5971"/>
        <w:gridCol w:w="1139"/>
      </w:tblGrid>
      <w:tr w:rsidR="001B3D78" w:rsidRPr="00BE5470" w14:paraId="178CDE4B" w14:textId="77777777" w:rsidTr="00EB720E">
        <w:trPr>
          <w:tblHeader/>
        </w:trPr>
        <w:tc>
          <w:tcPr>
            <w:tcW w:w="60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46A2D5BE" w14:textId="77777777" w:rsidR="00651E0B" w:rsidRPr="00861802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6FEEB6A2" w14:textId="77777777" w:rsidR="00651E0B" w:rsidRPr="007E3D92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 w:rsidRPr="007E3D9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>Section</w:t>
            </w:r>
          </w:p>
        </w:tc>
        <w:tc>
          <w:tcPr>
            <w:tcW w:w="6043" w:type="dxa"/>
            <w:shd w:val="clear" w:color="auto" w:fill="FFFFFF" w:themeFill="background1"/>
            <w:vAlign w:val="center"/>
            <w:hideMark/>
          </w:tcPr>
          <w:p w14:paraId="33E1522C" w14:textId="6F8AA64B" w:rsidR="00651E0B" w:rsidRPr="007E3D92" w:rsidRDefault="00861802" w:rsidP="001E3CBC">
            <w:pPr>
              <w:spacing w:beforeLines="60" w:before="144" w:afterLines="60" w:after="144" w:line="240" w:lineRule="auto"/>
              <w:ind w:left="283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86180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>Contenu</w:t>
            </w:r>
            <w:proofErr w:type="spellEnd"/>
            <w:r w:rsidRPr="0086180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 xml:space="preserve"> principal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661A3C6C" w14:textId="1D20B0BF" w:rsidR="00651E0B" w:rsidRPr="007E3D92" w:rsidRDefault="00861802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>Longueur (pages)</w:t>
            </w:r>
          </w:p>
        </w:tc>
      </w:tr>
      <w:tr w:rsidR="00861802" w:rsidRPr="00BE5470" w14:paraId="5F8A9A19" w14:textId="77777777" w:rsidTr="00861802">
        <w:tc>
          <w:tcPr>
            <w:tcW w:w="600" w:type="dxa"/>
            <w:vAlign w:val="center"/>
            <w:hideMark/>
          </w:tcPr>
          <w:p w14:paraId="12389BAC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20B8C058" w14:textId="38FD1765" w:rsidR="00861802" w:rsidRPr="00861802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Résumé</w:t>
            </w:r>
          </w:p>
        </w:tc>
        <w:tc>
          <w:tcPr>
            <w:tcW w:w="6043" w:type="dxa"/>
            <w:vAlign w:val="center"/>
            <w:hideMark/>
          </w:tcPr>
          <w:p w14:paraId="422DFFB5" w14:textId="77777777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À utiliser comme rapport indépendant pour ceux qui ne liront pas le rapport au complet</w:t>
            </w:r>
          </w:p>
          <w:p w14:paraId="27306299" w14:textId="79B79B17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Inclure les principales conclusions et recommandations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06435117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861802" w:rsidRPr="00BE5470" w14:paraId="0E25F8CC" w14:textId="77777777" w:rsidTr="00861802">
        <w:tc>
          <w:tcPr>
            <w:tcW w:w="600" w:type="dxa"/>
            <w:vAlign w:val="center"/>
            <w:hideMark/>
          </w:tcPr>
          <w:p w14:paraId="63469A81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58" w:type="dxa"/>
            <w:shd w:val="clear" w:color="auto" w:fill="FFFFFF" w:themeFill="background1"/>
            <w:vAlign w:val="center"/>
          </w:tcPr>
          <w:p w14:paraId="3811E56E" w14:textId="5BD08050" w:rsidR="00861802" w:rsidRPr="00861802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 xml:space="preserve">Introduction à </w:t>
            </w:r>
            <w:proofErr w:type="spellStart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l'évaluation</w:t>
            </w:r>
            <w:proofErr w:type="spellEnd"/>
          </w:p>
        </w:tc>
        <w:tc>
          <w:tcPr>
            <w:tcW w:w="6043" w:type="dxa"/>
            <w:vAlign w:val="center"/>
            <w:hideMark/>
          </w:tcPr>
          <w:p w14:paraId="383BF8B0" w14:textId="77777777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Objectifs de l'évaluation, questions clés liées au contexte de l'évaluation – développement ou urgence</w:t>
            </w:r>
          </w:p>
          <w:p w14:paraId="6FC0536C" w14:textId="77777777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Méthodologie, calendrier, équipe d'évaluation, groupes de lieux/population évalués</w:t>
            </w:r>
          </w:p>
          <w:p w14:paraId="404D4E1F" w14:textId="77777777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Hypothèses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,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limites</w:t>
            </w:r>
            <w:proofErr w:type="spellEnd"/>
          </w:p>
          <w:p w14:paraId="6C0E796B" w14:textId="70BAC6B6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Période d'évaluation (période normale et période d'intérêt)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0254E6C6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1-2</w:t>
            </w:r>
          </w:p>
        </w:tc>
      </w:tr>
      <w:tr w:rsidR="00861802" w:rsidRPr="00BE5470" w14:paraId="7740A786" w14:textId="77777777" w:rsidTr="00861802">
        <w:tc>
          <w:tcPr>
            <w:tcW w:w="600" w:type="dxa"/>
            <w:vAlign w:val="center"/>
            <w:hideMark/>
          </w:tcPr>
          <w:p w14:paraId="61C66CCC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448B1EB" w14:textId="28F404AB" w:rsidR="00861802" w:rsidRPr="00861802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 xml:space="preserve">Analyse du </w:t>
            </w:r>
            <w:proofErr w:type="spellStart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contexte</w:t>
            </w:r>
            <w:proofErr w:type="spellEnd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opérationnel</w:t>
            </w:r>
            <w:proofErr w:type="spellEnd"/>
          </w:p>
        </w:tc>
        <w:tc>
          <w:tcPr>
            <w:tcW w:w="6043" w:type="dxa"/>
            <w:vAlign w:val="center"/>
            <w:hideMark/>
          </w:tcPr>
          <w:p w14:paraId="11390CC5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Informations économiques, politiques, sociales et démographiques de la région</w:t>
            </w:r>
          </w:p>
          <w:p w14:paraId="54AB97AA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Contexte historique de la vulnérabilité, des chocs et des tendances</w:t>
            </w:r>
          </w:p>
          <w:p w14:paraId="06BD0651" w14:textId="55E63424" w:rsidR="00861802" w:rsidRPr="00861802" w:rsidRDefault="00861802" w:rsidP="0086180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Contexte humanitaire, y compris la présence de la Croix-Rouge et du Croissant-Rouge dans la région, ainsi que le travail de développement, de RRC et de résilience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1CA8152A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861802" w:rsidRPr="00BE5470" w14:paraId="7DDA2999" w14:textId="77777777" w:rsidTr="00861802">
        <w:tc>
          <w:tcPr>
            <w:tcW w:w="600" w:type="dxa"/>
            <w:vAlign w:val="center"/>
          </w:tcPr>
          <w:p w14:paraId="0667B386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535EC843" w14:textId="715CE9CD" w:rsidR="00861802" w:rsidRPr="007527C3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</w:pPr>
            <w:r w:rsidRPr="007527C3"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  <w:t>Moyens d’existence, marché du travail, systèmes de production alimentaire et saisonnalité</w:t>
            </w:r>
          </w:p>
        </w:tc>
        <w:tc>
          <w:tcPr>
            <w:tcW w:w="6043" w:type="dxa"/>
            <w:vAlign w:val="center"/>
            <w:hideMark/>
          </w:tcPr>
          <w:p w14:paraId="3125B729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Zones de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moyens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d’existence</w:t>
            </w:r>
            <w:proofErr w:type="spellEnd"/>
          </w:p>
          <w:p w14:paraId="0EF062F5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Principaux systèmes du marché du travail</w:t>
            </w:r>
          </w:p>
          <w:p w14:paraId="37111A49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Principaux systèmes de production alimentaire et saisonnalité</w:t>
            </w:r>
          </w:p>
          <w:p w14:paraId="262A2EB9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Groupes de moyens d’existence et principales activités saisonnières pour chaque groupe de moyens d’existence</w:t>
            </w:r>
          </w:p>
          <w:p w14:paraId="3B4F3EA2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Description et indicateurs des groupes socio-économiques</w:t>
            </w:r>
          </w:p>
          <w:p w14:paraId="6A229501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Sources d’alimentation pour chaque groupe socio-économique</w:t>
            </w:r>
          </w:p>
          <w:p w14:paraId="4BBB447E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Sources de revenus des ménages pour chaque groupe socio-économique</w:t>
            </w:r>
          </w:p>
          <w:p w14:paraId="6A3F7CA6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Changements dans les sources d’alimentation et de revenus et saisonnalité</w:t>
            </w:r>
          </w:p>
          <w:p w14:paraId="423F9A0D" w14:textId="209DD535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Principaux systèmes de marché alimentaire, disponibilité et accès à l’alimentation dans le temps et l'espace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1D05AD68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3-4</w:t>
            </w:r>
          </w:p>
        </w:tc>
      </w:tr>
      <w:tr w:rsidR="00861802" w:rsidRPr="00BE5470" w14:paraId="107AF062" w14:textId="77777777" w:rsidTr="00D46240">
        <w:trPr>
          <w:trHeight w:val="669"/>
        </w:trPr>
        <w:tc>
          <w:tcPr>
            <w:tcW w:w="600" w:type="dxa"/>
            <w:vAlign w:val="center"/>
          </w:tcPr>
          <w:p w14:paraId="357AC2FA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358" w:type="dxa"/>
            <w:shd w:val="clear" w:color="auto" w:fill="FFFFFF" w:themeFill="background1"/>
            <w:vAlign w:val="center"/>
          </w:tcPr>
          <w:p w14:paraId="4196B5FB" w14:textId="665C5E18" w:rsidR="00861802" w:rsidRPr="007527C3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</w:pPr>
            <w:r w:rsidRPr="007527C3"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  <w:t>Le comportement de consommation des ménages, les besoins prioritaires et la fluctuation des prix pour les consommateurs des principaux produits ménagers et de moyens d’existence</w:t>
            </w:r>
          </w:p>
        </w:tc>
        <w:tc>
          <w:tcPr>
            <w:tcW w:w="6043" w:type="dxa"/>
            <w:vAlign w:val="center"/>
          </w:tcPr>
          <w:p w14:paraId="771A9EEB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Dépenses des ménages en fonction des saisons</w:t>
            </w:r>
          </w:p>
          <w:p w14:paraId="534F8645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Habitudes de consommation des ménages, besoins prioritaires et tendances saisonnières</w:t>
            </w:r>
          </w:p>
          <w:p w14:paraId="2CDEEA4C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Moyens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d’existence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requis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 et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coût</w:t>
            </w:r>
            <w:proofErr w:type="spellEnd"/>
          </w:p>
          <w:p w14:paraId="7ECF284B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Évolution des prix des principaux produits alimentaires, non alimentaires et services ménagers au cours d'une année, en temps normal, selon les saisons (et après une catastrophe, le cas échéant)</w:t>
            </w:r>
          </w:p>
          <w:p w14:paraId="5BA3F81E" w14:textId="6C49B869" w:rsidR="00861802" w:rsidRPr="00BE5470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Capacité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 et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pouvoir</w:t>
            </w:r>
            <w:proofErr w:type="spellEnd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 xml:space="preserve"> </w:t>
            </w:r>
            <w:proofErr w:type="spellStart"/>
            <w:r w:rsidRPr="00861802">
              <w:rPr>
                <w:rFonts w:ascii="Helvetica" w:eastAsia="Calibri" w:hAnsi="Helvetica" w:cs="Arial"/>
                <w:sz w:val="20"/>
                <w:szCs w:val="20"/>
              </w:rPr>
              <w:t>d'achat</w:t>
            </w:r>
            <w:proofErr w:type="spellEnd"/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3C728591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861802" w:rsidRPr="00BE5470" w14:paraId="107EA521" w14:textId="77777777" w:rsidTr="00861802">
        <w:tc>
          <w:tcPr>
            <w:tcW w:w="600" w:type="dxa"/>
            <w:vAlign w:val="center"/>
          </w:tcPr>
          <w:p w14:paraId="576497DF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49232FA9" w14:textId="17E71E97" w:rsidR="00861802" w:rsidRPr="007527C3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</w:pPr>
            <w:r w:rsidRPr="007527C3"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  <w:t>Principaux systèmes de marché alimentaires et des services financiers, le fonctionnement et leurs risques</w:t>
            </w:r>
          </w:p>
        </w:tc>
        <w:tc>
          <w:tcPr>
            <w:tcW w:w="6043" w:type="dxa"/>
            <w:vAlign w:val="center"/>
            <w:hideMark/>
          </w:tcPr>
          <w:p w14:paraId="1C5C9D89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Systèmes critiques du marché alimentaire, disponibilité et accès</w:t>
            </w:r>
          </w:p>
          <w:p w14:paraId="28144AD7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Structure des marchés alimentaires, comportement saisonnier et tendances</w:t>
            </w:r>
          </w:p>
          <w:p w14:paraId="2D87EB2E" w14:textId="7777777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Systèmes, structure, comportement saisonnier et tendances du marché des prestataires de services financiers essentiels</w:t>
            </w:r>
          </w:p>
          <w:p w14:paraId="46A38888" w14:textId="52560BB7" w:rsidR="00861802" w:rsidRPr="00861802" w:rsidRDefault="00861802" w:rsidP="0086180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861802">
              <w:rPr>
                <w:rFonts w:ascii="Helvetica" w:eastAsia="Calibri" w:hAnsi="Helvetica" w:cs="Arial"/>
                <w:sz w:val="20"/>
                <w:szCs w:val="20"/>
                <w:lang w:val="fr-FR"/>
              </w:rPr>
              <w:t>Risques de l'offre et de la demande liés au fonctionnement du marché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0AB9AF16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861802" w:rsidRPr="00BE5470" w14:paraId="586FBEB1" w14:textId="77777777" w:rsidTr="00861802">
        <w:trPr>
          <w:trHeight w:val="973"/>
        </w:trPr>
        <w:tc>
          <w:tcPr>
            <w:tcW w:w="600" w:type="dxa"/>
            <w:vAlign w:val="center"/>
          </w:tcPr>
          <w:p w14:paraId="65919710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D5D23DF" w14:textId="008D2352" w:rsidR="00861802" w:rsidRPr="007527C3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</w:pPr>
            <w:r w:rsidRPr="007527C3"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  <w:t>Stratégies d'adaptation et filets de sécurité sociale</w:t>
            </w:r>
          </w:p>
        </w:tc>
        <w:tc>
          <w:tcPr>
            <w:tcW w:w="6043" w:type="dxa"/>
            <w:vAlign w:val="center"/>
            <w:hideMark/>
          </w:tcPr>
          <w:p w14:paraId="135BD51A" w14:textId="77777777" w:rsidR="00D46240" w:rsidRPr="00D46240" w:rsidRDefault="00D46240" w:rsidP="00D4624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Stratégie d'adaptation, gravité et tendances saisonnières par groupe socio-économique</w:t>
            </w:r>
          </w:p>
          <w:p w14:paraId="450AFA12" w14:textId="77777777" w:rsidR="00D46240" w:rsidRPr="00D46240" w:rsidRDefault="00D46240" w:rsidP="00D4624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Gravité des achats à crédit ou de l'accumulation de dettes sur la sécurité économique des ménages</w:t>
            </w:r>
          </w:p>
          <w:p w14:paraId="51286426" w14:textId="77777777" w:rsidR="00D46240" w:rsidRPr="00D46240" w:rsidRDefault="00D46240" w:rsidP="00D4624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Régimes publics de protection sociale en place</w:t>
            </w:r>
          </w:p>
          <w:p w14:paraId="1596D6F4" w14:textId="77777777" w:rsidR="00D46240" w:rsidRPr="00D46240" w:rsidRDefault="00D46240" w:rsidP="00D4624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proofErr w:type="spellStart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>Autres</w:t>
            </w:r>
            <w:proofErr w:type="spellEnd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 programmes </w:t>
            </w:r>
            <w:proofErr w:type="spellStart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>d'assistance</w:t>
            </w:r>
            <w:proofErr w:type="spellEnd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>sociale</w:t>
            </w:r>
            <w:proofErr w:type="spellEnd"/>
          </w:p>
          <w:p w14:paraId="56C11D9D" w14:textId="77777777" w:rsidR="00D46240" w:rsidRPr="00D46240" w:rsidRDefault="00D46240" w:rsidP="00D4624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proofErr w:type="spellStart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>Mécanismes</w:t>
            </w:r>
            <w:proofErr w:type="spellEnd"/>
            <w:r w:rsidRPr="00D46240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 de coordination</w:t>
            </w:r>
          </w:p>
          <w:p w14:paraId="3F4DA58E" w14:textId="4999FB1C" w:rsidR="00861802" w:rsidRPr="00D46240" w:rsidRDefault="00D46240" w:rsidP="00D4624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" w:hAnsi="Helvetica" w:cs="Arial"/>
                <w:bCs/>
                <w:sz w:val="20"/>
                <w:szCs w:val="20"/>
                <w:lang w:val="fr-FR"/>
              </w:rPr>
              <w:t>Le rôle et l'expérience de la CR/CR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0D4FBA6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  <w:p w14:paraId="25C6D896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</w:p>
        </w:tc>
      </w:tr>
      <w:tr w:rsidR="00861802" w:rsidRPr="00BE5470" w14:paraId="5A3E9ED4" w14:textId="77777777" w:rsidTr="00861802">
        <w:tc>
          <w:tcPr>
            <w:tcW w:w="600" w:type="dxa"/>
            <w:vAlign w:val="center"/>
            <w:hideMark/>
          </w:tcPr>
          <w:p w14:paraId="51F38216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75CC9C5B" w14:textId="25E2B327" w:rsidR="00861802" w:rsidRPr="00861802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 xml:space="preserve">Conclusions </w:t>
            </w:r>
            <w:proofErr w:type="spellStart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générales</w:t>
            </w:r>
            <w:proofErr w:type="spellEnd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l'analyse</w:t>
            </w:r>
            <w:proofErr w:type="spellEnd"/>
          </w:p>
        </w:tc>
        <w:tc>
          <w:tcPr>
            <w:tcW w:w="6043" w:type="dxa"/>
            <w:vAlign w:val="center"/>
            <w:hideMark/>
          </w:tcPr>
          <w:p w14:paraId="73890C0C" w14:textId="5004AF5E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 xml:space="preserve">Seuils et </w:t>
            </w:r>
            <w:r w:rsidR="007527C3" w:rsidRPr="007527C3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 xml:space="preserve">déficit </w:t>
            </w: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en matière de sécurité économique des ménages</w:t>
            </w:r>
          </w:p>
          <w:p w14:paraId="6BA0123B" w14:textId="77777777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Description de la gravité et de l'ampleur des besoins et des tendances, des priorités des populations et de l'évolution probable dans le temps</w:t>
            </w:r>
          </w:p>
          <w:p w14:paraId="76E85498" w14:textId="77777777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Sécurité alimentaire et besoins fondamentaux : état des lieux et besoins de soutien</w:t>
            </w:r>
          </w:p>
          <w:p w14:paraId="4A025277" w14:textId="77777777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Situation des moyens d’existence et besoins d’assistance</w:t>
            </w:r>
          </w:p>
          <w:p w14:paraId="3ACC0B2D" w14:textId="562273D3" w:rsidR="00861802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Planification de scénarios, changements saisonniers, risques supplémentaires futurs et actuels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0D5843B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3-4</w:t>
            </w:r>
          </w:p>
        </w:tc>
      </w:tr>
      <w:tr w:rsidR="00861802" w:rsidRPr="00BE5470" w14:paraId="4E50E309" w14:textId="77777777" w:rsidTr="00861802">
        <w:tc>
          <w:tcPr>
            <w:tcW w:w="600" w:type="dxa"/>
            <w:vAlign w:val="center"/>
            <w:hideMark/>
          </w:tcPr>
          <w:p w14:paraId="2F600B3A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29B6C3E" w14:textId="5C280FEC" w:rsidR="00861802" w:rsidRPr="007527C3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</w:pPr>
            <w:r w:rsidRPr="007527C3">
              <w:rPr>
                <w:rFonts w:ascii="Helvetica" w:eastAsia="Calibri" w:hAnsi="Helvetica" w:cs="Arial"/>
                <w:b/>
                <w:bCs/>
                <w:sz w:val="20"/>
                <w:szCs w:val="20"/>
                <w:lang w:val="fr-FR"/>
              </w:rPr>
              <w:t>Analyse des réponses des parties prenantes</w:t>
            </w:r>
          </w:p>
        </w:tc>
        <w:tc>
          <w:tcPr>
            <w:tcW w:w="6043" w:type="dxa"/>
            <w:vAlign w:val="center"/>
            <w:hideMark/>
          </w:tcPr>
          <w:p w14:paraId="78BD6197" w14:textId="77777777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Capacité et priorités actuelles de la CR/CR – y compris les ressources disponibles</w:t>
            </w:r>
          </w:p>
          <w:p w14:paraId="1455C496" w14:textId="77777777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proofErr w:type="spellStart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>Soutien</w:t>
            </w:r>
            <w:proofErr w:type="spellEnd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 xml:space="preserve"> des parties </w:t>
            </w:r>
            <w:proofErr w:type="spellStart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>prenantes</w:t>
            </w:r>
            <w:proofErr w:type="spellEnd"/>
          </w:p>
          <w:p w14:paraId="3963632B" w14:textId="77777777" w:rsidR="00D46240" w:rsidRPr="00D46240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  <w:lang w:val="fr-FR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>Réponses actuelles et prévues du gouvernement, des autres agences et de leurs capacités (mettre dans un tableau)</w:t>
            </w:r>
          </w:p>
          <w:p w14:paraId="2EA25EAC" w14:textId="34E036B3" w:rsidR="00861802" w:rsidRPr="001E3CBC" w:rsidRDefault="00D46240" w:rsidP="00D4624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D46240">
              <w:rPr>
                <w:rFonts w:ascii="Helvetica" w:eastAsia="Calibri Light" w:hAnsi="Helvetica" w:cs="Arial"/>
                <w:sz w:val="20"/>
                <w:szCs w:val="20"/>
                <w:lang w:val="fr-FR"/>
              </w:rPr>
              <w:t xml:space="preserve">La réponse actuelle et prévue des parties prenantes est-elle suffisante pour répondre aux besoins fondamentaux et pour soutenir les moyens d’existence (y compris le logement) ? </w:t>
            </w:r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 xml:space="preserve">Si non, </w:t>
            </w:r>
            <w:proofErr w:type="spellStart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>quelles</w:t>
            </w:r>
            <w:proofErr w:type="spellEnd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 xml:space="preserve"> </w:t>
            </w:r>
            <w:proofErr w:type="spellStart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>sont</w:t>
            </w:r>
            <w:proofErr w:type="spellEnd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 xml:space="preserve"> les </w:t>
            </w:r>
            <w:proofErr w:type="gramStart"/>
            <w:r w:rsidRPr="00D46240">
              <w:rPr>
                <w:rFonts w:ascii="Helvetica" w:eastAsia="Calibri Light" w:hAnsi="Helvetica" w:cs="Arial"/>
                <w:sz w:val="20"/>
                <w:szCs w:val="20"/>
              </w:rPr>
              <w:t>lacunes ?</w:t>
            </w:r>
            <w:proofErr w:type="gramEnd"/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2616A8A7" w14:textId="77777777" w:rsidR="00861802" w:rsidRPr="00BE5470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1-2</w:t>
            </w:r>
          </w:p>
        </w:tc>
      </w:tr>
      <w:tr w:rsidR="00861802" w:rsidRPr="00BE5470" w14:paraId="2E359930" w14:textId="77777777" w:rsidTr="00861802">
        <w:tc>
          <w:tcPr>
            <w:tcW w:w="600" w:type="dxa"/>
            <w:vAlign w:val="center"/>
            <w:hideMark/>
          </w:tcPr>
          <w:p w14:paraId="1022BE58" w14:textId="77777777" w:rsidR="00861802" w:rsidRPr="001B3D78" w:rsidRDefault="00861802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FECE2EE" w14:textId="44D8C9BF" w:rsidR="00861802" w:rsidRPr="00861802" w:rsidRDefault="00861802" w:rsidP="00861802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861802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Annexes</w:t>
            </w:r>
          </w:p>
        </w:tc>
        <w:tc>
          <w:tcPr>
            <w:tcW w:w="6043" w:type="dxa"/>
            <w:vAlign w:val="center"/>
          </w:tcPr>
          <w:p w14:paraId="5DCA7756" w14:textId="77777777" w:rsidR="00861802" w:rsidRPr="00BE5470" w:rsidRDefault="00861802" w:rsidP="00861802">
            <w:pPr>
              <w:spacing w:beforeLines="60" w:before="144" w:afterLines="60" w:after="144" w:line="240" w:lineRule="auto"/>
              <w:ind w:left="317"/>
              <w:rPr>
                <w:rFonts w:ascii="Helvetica" w:eastAsia="Calibri" w:hAnsi="Helvetica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3B5104E5" w14:textId="4CEE5A64" w:rsidR="00861802" w:rsidRPr="00BE5470" w:rsidRDefault="00D46240" w:rsidP="00861802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proofErr w:type="spellStart"/>
            <w:r w:rsidRPr="00D46240">
              <w:rPr>
                <w:rFonts w:ascii="Helvetica" w:eastAsia="Calibri" w:hAnsi="Helvetica" w:cs="Arial"/>
                <w:b/>
                <w:sz w:val="20"/>
                <w:szCs w:val="20"/>
              </w:rPr>
              <w:t>Selon</w:t>
            </w:r>
            <w:proofErr w:type="spellEnd"/>
            <w:r w:rsidRPr="00D46240">
              <w:rPr>
                <w:rFonts w:ascii="Helvetica" w:eastAsia="Calibri" w:hAnsi="Helvetica" w:cs="Arial"/>
                <w:b/>
                <w:sz w:val="20"/>
                <w:szCs w:val="20"/>
              </w:rPr>
              <w:t xml:space="preserve"> les </w:t>
            </w:r>
            <w:proofErr w:type="spellStart"/>
            <w:r w:rsidRPr="00D46240">
              <w:rPr>
                <w:rFonts w:ascii="Helvetica" w:eastAsia="Calibri" w:hAnsi="Helvetica" w:cs="Arial"/>
                <w:b/>
                <w:sz w:val="20"/>
                <w:szCs w:val="20"/>
              </w:rPr>
              <w:t>besoins</w:t>
            </w:r>
            <w:proofErr w:type="spellEnd"/>
          </w:p>
        </w:tc>
      </w:tr>
    </w:tbl>
    <w:p w14:paraId="594291AA" w14:textId="77777777" w:rsidR="00DB2CB9" w:rsidRPr="00D46240" w:rsidRDefault="00DB2CB9">
      <w:pPr>
        <w:rPr>
          <w:rFonts w:ascii="Helvetica" w:hAnsi="Helvetica"/>
          <w:lang w:val="fr-FR"/>
        </w:rPr>
      </w:pPr>
    </w:p>
    <w:sectPr w:rsidR="00DB2CB9" w:rsidRPr="00D46240" w:rsidSect="00D46240">
      <w:headerReference w:type="default" r:id="rId7"/>
      <w:pgSz w:w="11906" w:h="16838"/>
      <w:pgMar w:top="1440" w:right="1440" w:bottom="212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CA590" w14:textId="77777777" w:rsidR="00F968AD" w:rsidRDefault="00F968AD" w:rsidP="00BE5470">
      <w:pPr>
        <w:spacing w:after="0" w:line="240" w:lineRule="auto"/>
      </w:pPr>
      <w:r>
        <w:separator/>
      </w:r>
    </w:p>
  </w:endnote>
  <w:endnote w:type="continuationSeparator" w:id="0">
    <w:p w14:paraId="59D80663" w14:textId="77777777" w:rsidR="00F968AD" w:rsidRDefault="00F968AD" w:rsidP="00BE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panose1 w:val="020B0403020202020204"/>
    <w:charset w:val="00"/>
    <w:family w:val="auto"/>
    <w:pitch w:val="variable"/>
    <w:sig w:usb0="E50002FF" w:usb1="500079DB" w:usb2="00000012" w:usb3="00000000" w:csb0="000000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DED22" w14:textId="77777777" w:rsidR="00F968AD" w:rsidRDefault="00F968AD" w:rsidP="00BE5470">
      <w:pPr>
        <w:spacing w:after="0" w:line="240" w:lineRule="auto"/>
      </w:pPr>
      <w:r>
        <w:separator/>
      </w:r>
    </w:p>
  </w:footnote>
  <w:footnote w:type="continuationSeparator" w:id="0">
    <w:p w14:paraId="168FAB40" w14:textId="77777777" w:rsidR="00F968AD" w:rsidRDefault="00F968AD" w:rsidP="00BE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2598" w14:textId="0447E0FB" w:rsidR="00BE5470" w:rsidRDefault="00D46240" w:rsidP="00D46240">
    <w:pPr>
      <w:pStyle w:val="Header"/>
      <w:jc w:val="center"/>
    </w:pPr>
    <w:r w:rsidRPr="00D46240"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  <w:t>Modèle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176D0"/>
    <w:multiLevelType w:val="hybridMultilevel"/>
    <w:tmpl w:val="BC36D2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3B459F"/>
    <w:multiLevelType w:val="hybridMultilevel"/>
    <w:tmpl w:val="5982421E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6D4"/>
    <w:multiLevelType w:val="hybridMultilevel"/>
    <w:tmpl w:val="570272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B207C"/>
    <w:multiLevelType w:val="hybridMultilevel"/>
    <w:tmpl w:val="D17890E8"/>
    <w:lvl w:ilvl="0" w:tplc="E274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1992"/>
    <w:multiLevelType w:val="hybridMultilevel"/>
    <w:tmpl w:val="3C96B43E"/>
    <w:lvl w:ilvl="0" w:tplc="E274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71DE1"/>
    <w:multiLevelType w:val="hybridMultilevel"/>
    <w:tmpl w:val="D9984C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50080"/>
    <w:multiLevelType w:val="hybridMultilevel"/>
    <w:tmpl w:val="DF8C7B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79D4ECB"/>
    <w:multiLevelType w:val="hybridMultilevel"/>
    <w:tmpl w:val="86EC7A4E"/>
    <w:lvl w:ilvl="0" w:tplc="4C8E3416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D72F4"/>
    <w:multiLevelType w:val="hybridMultilevel"/>
    <w:tmpl w:val="7708EC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FA6D45"/>
    <w:multiLevelType w:val="multilevel"/>
    <w:tmpl w:val="8402C5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B9"/>
    <w:rsid w:val="001A0DC3"/>
    <w:rsid w:val="001B3D78"/>
    <w:rsid w:val="001E3CBC"/>
    <w:rsid w:val="00264E39"/>
    <w:rsid w:val="00312E82"/>
    <w:rsid w:val="00312F70"/>
    <w:rsid w:val="0054343F"/>
    <w:rsid w:val="0055707F"/>
    <w:rsid w:val="005A0C26"/>
    <w:rsid w:val="005E0A19"/>
    <w:rsid w:val="00651E0B"/>
    <w:rsid w:val="006A2D90"/>
    <w:rsid w:val="006C09F2"/>
    <w:rsid w:val="007527C3"/>
    <w:rsid w:val="0076533C"/>
    <w:rsid w:val="007E3D92"/>
    <w:rsid w:val="00861802"/>
    <w:rsid w:val="009E5153"/>
    <w:rsid w:val="00A86076"/>
    <w:rsid w:val="00AA3741"/>
    <w:rsid w:val="00B37A6F"/>
    <w:rsid w:val="00BE5470"/>
    <w:rsid w:val="00CC7E23"/>
    <w:rsid w:val="00D46240"/>
    <w:rsid w:val="00DB2CB9"/>
    <w:rsid w:val="00E114C8"/>
    <w:rsid w:val="00EB720E"/>
    <w:rsid w:val="00F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26F2"/>
  <w15:chartTrackingRefBased/>
  <w15:docId w15:val="{51470544-5B83-404F-B95F-5403611C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470"/>
    <w:pPr>
      <w:keepNext/>
      <w:keepLines/>
      <w:numPr>
        <w:numId w:val="9"/>
      </w:numPr>
      <w:spacing w:before="480" w:after="120" w:line="240" w:lineRule="auto"/>
      <w:ind w:left="709" w:hanging="709"/>
      <w:outlineLvl w:val="0"/>
    </w:pPr>
    <w:rPr>
      <w:rFonts w:asciiTheme="majorHAnsi" w:eastAsiaTheme="majorEastAsia" w:hAnsiTheme="majorHAnsi" w:cstheme="majorBidi"/>
      <w:bCs/>
      <w:color w:val="2D4F8E" w:themeColor="accent1" w:themeShade="B5"/>
      <w:sz w:val="44"/>
      <w:szCs w:val="5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B2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B9"/>
    <w:rPr>
      <w:sz w:val="20"/>
      <w:szCs w:val="20"/>
    </w:rPr>
  </w:style>
  <w:style w:type="character" w:styleId="CommentReference">
    <w:name w:val="annotation reference"/>
    <w:uiPriority w:val="99"/>
    <w:unhideWhenUsed/>
    <w:rsid w:val="00DB2CB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B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List,FooterText,List Paragraph1,Colorful List Accent 1,numbered,列出段落,列出段落1,Bulletr List Paragraph,List Paragraph2,List Paragraph21,Párrafo de lista1,Parágrafo da Lista1,リスト段落1,Plan,Dot pt,F5 List Paragraph,????,normal,WB Para,RM1"/>
    <w:basedOn w:val="Normal"/>
    <w:link w:val="ListParagraphChar"/>
    <w:uiPriority w:val="34"/>
    <w:qFormat/>
    <w:rsid w:val="00DB2CB9"/>
    <w:pPr>
      <w:ind w:left="720"/>
      <w:contextualSpacing/>
    </w:pPr>
  </w:style>
  <w:style w:type="character" w:customStyle="1" w:styleId="ListParagraphChar">
    <w:name w:val="List Paragraph Char"/>
    <w:aliases w:val="Bullet List Char,FooterText Char,List Paragraph1 Char,Colorful List Accent 1 Char,numbered Char,列出段落 Char,列出段落1 Char,Bulletr List Paragraph Char,List Paragraph2 Char,List Paragraph21 Char,Párrafo de lista1 Char,リスト段落1 Char,Plan Char"/>
    <w:link w:val="ListParagraph"/>
    <w:uiPriority w:val="34"/>
    <w:locked/>
    <w:rsid w:val="00264E39"/>
  </w:style>
  <w:style w:type="paragraph" w:styleId="Header">
    <w:name w:val="header"/>
    <w:basedOn w:val="Normal"/>
    <w:link w:val="HeaderChar"/>
    <w:uiPriority w:val="99"/>
    <w:unhideWhenUsed/>
    <w:rsid w:val="00BE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470"/>
  </w:style>
  <w:style w:type="paragraph" w:styleId="Footer">
    <w:name w:val="footer"/>
    <w:basedOn w:val="Normal"/>
    <w:link w:val="FooterChar"/>
    <w:uiPriority w:val="99"/>
    <w:unhideWhenUsed/>
    <w:rsid w:val="00BE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470"/>
  </w:style>
  <w:style w:type="character" w:customStyle="1" w:styleId="Heading1Char">
    <w:name w:val="Heading 1 Char"/>
    <w:basedOn w:val="DefaultParagraphFont"/>
    <w:link w:val="Heading1"/>
    <w:uiPriority w:val="9"/>
    <w:rsid w:val="00BE5470"/>
    <w:rPr>
      <w:rFonts w:asciiTheme="majorHAnsi" w:eastAsiaTheme="majorEastAsia" w:hAnsiTheme="majorHAnsi" w:cstheme="majorBidi"/>
      <w:bCs/>
      <w:color w:val="2D4F8E" w:themeColor="accent1" w:themeShade="B5"/>
      <w:sz w:val="44"/>
      <w:szCs w:val="52"/>
      <w:lang w:val="en-US"/>
    </w:rPr>
  </w:style>
  <w:style w:type="paragraph" w:customStyle="1" w:styleId="BulletpointsHESGuidelinesStylesLists">
    <w:name w:val="Bullet points (HES Guidelines Styles:Lists)"/>
    <w:basedOn w:val="Normal"/>
    <w:next w:val="Normal"/>
    <w:uiPriority w:val="99"/>
    <w:rsid w:val="00861802"/>
    <w:pPr>
      <w:suppressAutoHyphens/>
      <w:autoSpaceDE w:val="0"/>
      <w:autoSpaceDN w:val="0"/>
      <w:adjustRightInd w:val="0"/>
      <w:spacing w:after="57" w:line="300" w:lineRule="atLeast"/>
      <w:ind w:left="283" w:hanging="283"/>
      <w:textAlignment w:val="center"/>
    </w:pPr>
    <w:rPr>
      <w:rFonts w:ascii="Helvetica Neue" w:hAnsi="Helvetica Neue" w:cs="Helvetica Neue"/>
      <w:color w:val="1D1A1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Gulei</dc:creator>
  <cp:keywords/>
  <dc:description/>
  <cp:lastModifiedBy>Alvaro Ruiz</cp:lastModifiedBy>
  <cp:revision>4</cp:revision>
  <dcterms:created xsi:type="dcterms:W3CDTF">2021-10-29T15:31:00Z</dcterms:created>
  <dcterms:modified xsi:type="dcterms:W3CDTF">2021-12-06T15:52:00Z</dcterms:modified>
</cp:coreProperties>
</file>